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color w:val="auto"/>
          <w:sz w:val="84"/>
          <w:highlight w:val="none"/>
        </w:rPr>
      </w:pPr>
      <w:r>
        <w:rPr>
          <w:rFonts w:hint="eastAsia"/>
          <w:b/>
          <w:color w:val="auto"/>
          <w:sz w:val="84"/>
          <w:highlight w:val="none"/>
        </w:rPr>
      </w:r>
      <w:r/>
    </w:p>
    <w:p>
      <w:pPr>
        <w:jc w:val="center"/>
        <w:rPr>
          <w:rFonts w:hint="eastAsia" w:eastAsia="黑体"/>
          <w:b/>
          <w:color w:val="auto"/>
          <w:sz w:val="84"/>
          <w:highlight w:val="none"/>
        </w:rPr>
      </w:pPr>
      <w:r>
        <w:rPr>
          <w:rFonts w:hint="eastAsia" w:eastAsia="黑体"/>
          <w:b/>
          <w:color w:val="auto"/>
          <w:sz w:val="84"/>
          <w:highlight w:val="none"/>
        </w:rPr>
      </w:r>
      <w:r/>
    </w:p>
    <w:p>
      <w:pPr>
        <w:jc w:val="center"/>
        <w:rPr>
          <w:rFonts w:hint="eastAsia" w:eastAsia="黑体"/>
          <w:b/>
          <w:color w:val="auto"/>
          <w:sz w:val="32"/>
          <w:highlight w:val="none"/>
        </w:rPr>
      </w:pPr>
      <w:r>
        <w:rPr>
          <w:rFonts w:hint="eastAsia" w:eastAsia="黑体"/>
          <w:b/>
          <w:color w:val="auto"/>
          <w:sz w:val="84"/>
          <w:highlight w:val="none"/>
        </w:rPr>
        <w:t xml:space="preserve">竞争性磋商文件</w:t>
      </w:r>
      <w:r/>
    </w:p>
    <w:p>
      <w:pPr>
        <w:jc w:val="left"/>
        <w:rPr>
          <w:rFonts w:hint="eastAsia" w:ascii="宋体"/>
          <w:b/>
          <w:color w:val="auto"/>
          <w:sz w:val="36"/>
          <w:highlight w:val="none"/>
        </w:rPr>
      </w:pPr>
      <w:r>
        <w:rPr>
          <w:rFonts w:hint="eastAsia" w:ascii="宋体"/>
          <w:b/>
          <w:color w:val="auto"/>
          <w:sz w:val="36"/>
          <w:highlight w:val="none"/>
        </w:rPr>
      </w:r>
      <w:r/>
    </w:p>
    <w:p>
      <w:pPr>
        <w:jc w:val="left"/>
        <w:rPr>
          <w:rFonts w:hint="eastAsia" w:ascii="宋体"/>
          <w:b/>
          <w:color w:val="auto"/>
          <w:sz w:val="36"/>
          <w:highlight w:val="none"/>
        </w:rPr>
      </w:pPr>
      <w:r>
        <w:rPr>
          <w:rFonts w:hint="eastAsia" w:ascii="宋体"/>
          <w:b/>
          <w:color w:val="auto"/>
          <w:sz w:val="36"/>
          <w:highlight w:val="none"/>
        </w:rPr>
      </w:r>
      <w:r/>
    </w:p>
    <w:p>
      <w:pPr>
        <w:jc w:val="center"/>
        <w:rPr>
          <w:rFonts w:hint="eastAsia" w:ascii="宋体" w:eastAsia="宋体"/>
          <w:b/>
          <w:bCs/>
          <w:color w:val="auto"/>
          <w:sz w:val="36"/>
          <w:szCs w:val="36"/>
          <w:highlight w:val="none"/>
        </w:rPr>
      </w:pPr>
      <w:r>
        <w:rPr>
          <w:rFonts w:hint="eastAsia" w:ascii="宋体" w:eastAsia="宋体"/>
          <w:b/>
          <w:bCs/>
          <w:color w:val="auto"/>
          <w:sz w:val="36"/>
          <w:szCs w:val="36"/>
          <w:highlight w:val="none"/>
        </w:rPr>
      </w:r>
      <w:r/>
    </w:p>
    <w:p>
      <w:pPr>
        <w:jc w:val="center"/>
        <w:rPr>
          <w:rFonts w:hint="eastAsia" w:ascii="宋体"/>
          <w:b/>
          <w:bCs/>
          <w:color w:val="auto"/>
          <w:sz w:val="36"/>
          <w:szCs w:val="36"/>
          <w:highlight w:val="none"/>
        </w:rPr>
      </w:pPr>
      <w:r>
        <w:rPr>
          <w:rFonts w:hint="eastAsia" w:ascii="宋体"/>
          <w:b/>
          <w:color w:val="auto"/>
          <w:sz w:val="36"/>
          <w:highlight w:val="none"/>
        </w:rPr>
        <w:t xml:space="preserve">项目编号：</w:t>
      </w:r>
      <w:r>
        <w:rPr>
          <w:rFonts w:hint="eastAsia" w:ascii="宋体"/>
          <w:b/>
          <w:color w:val="auto"/>
          <w:sz w:val="36"/>
          <w:highlight w:val="none"/>
          <w:lang w:eastAsia="zh-CN"/>
        </w:rPr>
        <w:t xml:space="preserve">JSZC-320900-YJZC-C2025-0003</w:t>
      </w:r>
      <w:r/>
    </w:p>
    <w:p>
      <w:pPr>
        <w:ind w:firstLine="2692"/>
        <w:rPr>
          <w:rFonts w:hint="eastAsia" w:ascii="宋体"/>
          <w:b/>
          <w:color w:val="auto"/>
          <w:sz w:val="36"/>
          <w:highlight w:val="none"/>
        </w:rPr>
      </w:pPr>
      <w:r>
        <w:rPr>
          <w:rFonts w:hint="eastAsia" w:ascii="宋体"/>
          <w:b/>
          <w:color w:val="auto"/>
          <w:sz w:val="36"/>
          <w:highlight w:val="none"/>
        </w:rPr>
        <w:t xml:space="preserve"> </w:t>
      </w:r>
      <w:r/>
    </w:p>
    <w:p>
      <w:pPr>
        <w:rPr>
          <w:rFonts w:hint="eastAsia" w:ascii="宋体"/>
          <w:b/>
          <w:color w:val="auto"/>
          <w:sz w:val="36"/>
          <w:highlight w:val="none"/>
        </w:rPr>
      </w:pPr>
      <w:r>
        <w:rPr>
          <w:rFonts w:hint="eastAsia" w:ascii="宋体"/>
          <w:b/>
          <w:color w:val="auto"/>
          <w:sz w:val="36"/>
          <w:highlight w:val="none"/>
        </w:rPr>
      </w:r>
      <w:r/>
    </w:p>
    <w:p>
      <w:pPr>
        <w:jc w:val="center"/>
        <w:rPr>
          <w:rFonts w:hint="eastAsia" w:ascii="宋体" w:hAnsi="Times New Roman" w:eastAsia="宋体" w:cs="Times New Roman"/>
          <w:b/>
          <w:bCs/>
          <w:color w:val="auto"/>
          <w:sz w:val="32"/>
          <w:szCs w:val="32"/>
          <w:highlight w:val="none"/>
        </w:rPr>
      </w:pPr>
      <w:r>
        <w:rPr>
          <w:rFonts w:hint="eastAsia" w:ascii="宋体" w:hAnsi="Times New Roman" w:eastAsia="宋体" w:cs="Times New Roman"/>
          <w:b/>
          <w:bCs/>
          <w:color w:val="auto"/>
          <w:sz w:val="32"/>
          <w:szCs w:val="32"/>
          <w:highlight w:val="none"/>
        </w:rPr>
      </w:r>
      <w:r/>
    </w:p>
    <w:p>
      <w:pPr>
        <w:jc w:val="center"/>
        <w:rPr>
          <w:rFonts w:hint="eastAsia" w:ascii="宋体" w:hAnsi="Times New Roman" w:eastAsia="宋体" w:cs="Times New Roman"/>
          <w:b/>
          <w:bCs/>
          <w:color w:val="auto"/>
          <w:sz w:val="32"/>
          <w:szCs w:val="32"/>
          <w:highlight w:val="none"/>
        </w:rPr>
      </w:pPr>
      <w:r>
        <w:rPr>
          <w:rFonts w:hint="eastAsia" w:ascii="宋体" w:hAnsi="Times New Roman" w:eastAsia="宋体" w:cs="Times New Roman"/>
          <w:b/>
          <w:bCs/>
          <w:color w:val="auto"/>
          <w:sz w:val="32"/>
          <w:szCs w:val="32"/>
          <w:highlight w:val="none"/>
        </w:rPr>
      </w:r>
      <w:r/>
    </w:p>
    <w:p>
      <w:pPr>
        <w:jc w:val="center"/>
        <w:spacing w:line="360" w:lineRule="auto"/>
        <w:rPr>
          <w:rFonts w:hint="eastAsia" w:ascii="宋体"/>
          <w:b/>
          <w:color w:val="auto"/>
          <w:sz w:val="36"/>
          <w:highlight w:val="none"/>
          <w:lang w:eastAsia="zh-CN"/>
        </w:rPr>
      </w:pPr>
      <w:r/>
      <w:bookmarkStart w:id="0" w:name="OLE_LINK2"/>
      <w:r>
        <w:rPr>
          <w:rFonts w:hint="eastAsia" w:ascii="宋体"/>
          <w:b/>
          <w:color w:val="auto"/>
          <w:sz w:val="36"/>
          <w:highlight w:val="none"/>
        </w:rPr>
        <w:t xml:space="preserve">项目名称：</w:t>
      </w:r>
      <w:bookmarkStart w:id="1" w:name="OLE_LINK16"/>
      <w:r>
        <w:rPr>
          <w:rFonts w:hint="eastAsia" w:ascii="宋体"/>
          <w:b/>
          <w:color w:val="auto"/>
          <w:sz w:val="36"/>
          <w:highlight w:val="none"/>
          <w:lang w:eastAsia="zh-CN"/>
        </w:rPr>
        <w:t xml:space="preserve">盐城市土壤污染状况调查、风险评估、修复效果</w:t>
      </w:r>
      <w:r/>
    </w:p>
    <w:p>
      <w:pPr>
        <w:jc w:val="center"/>
        <w:spacing w:line="360" w:lineRule="auto"/>
        <w:rPr>
          <w:rFonts w:hint="eastAsia" w:ascii="宋体"/>
          <w:b/>
          <w:color w:val="auto"/>
          <w:sz w:val="36"/>
          <w:highlight w:val="none"/>
        </w:rPr>
      </w:pPr>
      <w:r>
        <w:rPr>
          <w:rFonts w:hint="eastAsia" w:ascii="宋体"/>
          <w:b/>
          <w:color w:val="auto"/>
          <w:sz w:val="36"/>
          <w:highlight w:val="none"/>
          <w:lang w:eastAsia="zh-CN"/>
        </w:rPr>
        <w:t xml:space="preserve">评估报告评审以及质量控制技术服务</w:t>
      </w:r>
      <w:r/>
    </w:p>
    <w:p>
      <w:pPr>
        <w:pStyle w:val="99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72"/>
        <w:rPr>
          <w:rFonts w:hint="eastAsia"/>
          <w:color w:val="auto"/>
          <w:highlight w:val="none"/>
        </w:rPr>
      </w:pPr>
      <w:r>
        <w:rPr>
          <w:rFonts w:hint="eastAsia"/>
          <w:color w:val="auto"/>
          <w:highlight w:val="none"/>
        </w:rPr>
      </w:r>
      <w:r/>
    </w:p>
    <w:p>
      <w:pPr>
        <w:pStyle w:val="972"/>
        <w:rPr>
          <w:rFonts w:hint="eastAsia"/>
          <w:color w:val="auto"/>
          <w:highlight w:val="none"/>
        </w:rPr>
      </w:pPr>
      <w:r>
        <w:rPr>
          <w:rFonts w:hint="eastAsia"/>
          <w:color w:val="auto"/>
          <w:highlight w:val="none"/>
        </w:rPr>
      </w:r>
      <w:r/>
    </w:p>
    <w:p>
      <w:pPr>
        <w:pStyle w:val="972"/>
        <w:rPr>
          <w:rFonts w:hint="eastAsia"/>
          <w:color w:val="auto"/>
          <w:highlight w:val="none"/>
        </w:rPr>
      </w:pPr>
      <w:r>
        <w:rPr>
          <w:rFonts w:hint="eastAsia"/>
          <w:color w:val="auto"/>
          <w:highlight w:val="none"/>
        </w:rPr>
      </w:r>
      <w:r/>
    </w:p>
    <w:p>
      <w:pPr>
        <w:pStyle w:val="972"/>
        <w:rPr>
          <w:rFonts w:hint="eastAsia"/>
          <w:color w:val="auto"/>
          <w:highlight w:val="none"/>
        </w:rPr>
      </w:pPr>
      <w:r>
        <w:rPr>
          <w:rFonts w:hint="eastAsia"/>
          <w:color w:val="auto"/>
          <w:highlight w:val="none"/>
        </w:rPr>
      </w:r>
      <w:bookmarkEnd w:id="0"/>
      <w:r/>
      <w:bookmarkEnd w:id="1"/>
      <w:r/>
      <w:r/>
    </w:p>
    <w:p>
      <w:pPr>
        <w:pStyle w:val="972"/>
        <w:rPr>
          <w:rFonts w:hint="eastAsia"/>
          <w:color w:val="auto"/>
          <w:highlight w:val="none"/>
        </w:rPr>
      </w:pPr>
      <w:r>
        <w:rPr>
          <w:rFonts w:hint="eastAsia"/>
          <w:color w:val="auto"/>
          <w:highlight w:val="none"/>
        </w:rPr>
      </w:r>
      <w:r/>
    </w:p>
    <w:p>
      <w:pPr>
        <w:pStyle w:val="959"/>
        <w:ind w:firstLine="157"/>
        <w:rPr>
          <w:rFonts w:hint="eastAsia"/>
          <w:color w:val="auto"/>
          <w:highlight w:val="none"/>
        </w:rPr>
      </w:pPr>
      <w:r>
        <w:rPr>
          <w:rFonts w:hint="eastAsia"/>
          <w:color w:val="auto"/>
          <w:highlight w:val="none"/>
        </w:rPr>
      </w:r>
      <w:r/>
    </w:p>
    <w:p>
      <w:pPr>
        <w:rPr>
          <w:rFonts w:hint="eastAsia" w:ascii="宋体"/>
          <w:b/>
          <w:color w:val="auto"/>
          <w:sz w:val="32"/>
          <w:highlight w:val="none"/>
        </w:rPr>
      </w:pPr>
      <w:r>
        <w:rPr>
          <w:rFonts w:hint="eastAsia" w:ascii="宋体"/>
          <w:b/>
          <w:color w:val="auto"/>
          <w:sz w:val="32"/>
          <w:highlight w:val="none"/>
        </w:rPr>
      </w:r>
      <w:r/>
    </w:p>
    <w:p>
      <w:pPr>
        <w:jc w:val="center"/>
        <w:rPr>
          <w:rFonts w:hint="eastAsia" w:ascii="黑体" w:eastAsia="黑体"/>
          <w:color w:val="auto"/>
          <w:sz w:val="44"/>
          <w:highlight w:val="none"/>
        </w:rPr>
      </w:pPr>
      <w:r>
        <w:rPr>
          <w:rFonts w:hint="eastAsia" w:ascii="黑体" w:eastAsia="黑体"/>
          <w:color w:val="auto"/>
          <w:sz w:val="44"/>
          <w:highlight w:val="none"/>
        </w:rPr>
        <w:t xml:space="preserve">盐城市生态环境局</w:t>
      </w:r>
      <w:r/>
    </w:p>
    <w:p>
      <w:pPr>
        <w:jc w:val="center"/>
        <w:rPr>
          <w:rFonts w:hint="eastAsia" w:ascii="黑体" w:eastAsia="黑体"/>
          <w:color w:val="auto"/>
          <w:sz w:val="44"/>
          <w:highlight w:val="none"/>
        </w:rPr>
      </w:pPr>
      <w:r>
        <w:rPr>
          <w:rFonts w:hint="eastAsia" w:ascii="黑体" w:eastAsia="黑体"/>
          <w:color w:val="auto"/>
          <w:sz w:val="44"/>
          <w:highlight w:val="none"/>
          <w:lang w:eastAsia="zh-CN"/>
        </w:rPr>
        <w:t xml:space="preserve">盐城市捷之诚工程项目管理有限公司</w:t>
      </w:r>
      <w:r/>
    </w:p>
    <w:p>
      <w:pPr>
        <w:jc w:val="center"/>
        <w:rPr>
          <w:rFonts w:ascii="黑体" w:eastAsia="黑体"/>
          <w:color w:val="auto"/>
          <w:sz w:val="44"/>
          <w:highlight w:val="none"/>
        </w:rPr>
      </w:pPr>
      <w:r>
        <w:rPr>
          <w:rFonts w:ascii="黑体" w:eastAsia="黑体"/>
          <w:color w:val="auto"/>
          <w:sz w:val="44"/>
          <w:highlight w:val="none"/>
        </w:rPr>
        <w:t xml:space="preserve">20</w:t>
      </w:r>
      <w:r>
        <w:rPr>
          <w:rFonts w:hint="eastAsia" w:ascii="黑体" w:eastAsia="黑体"/>
          <w:color w:val="auto"/>
          <w:sz w:val="44"/>
          <w:highlight w:val="none"/>
        </w:rPr>
        <w:t xml:space="preserve">25年</w:t>
      </w:r>
      <w:r>
        <w:rPr>
          <w:rFonts w:hint="eastAsia" w:ascii="黑体" w:eastAsia="黑体"/>
          <w:color w:val="auto"/>
          <w:sz w:val="44"/>
          <w:highlight w:val="none"/>
          <w:lang w:val="en-US" w:eastAsia="zh-CN"/>
        </w:rPr>
        <w:t xml:space="preserve">12</w:t>
      </w:r>
      <w:r>
        <w:rPr>
          <w:rFonts w:hint="eastAsia" w:ascii="黑体" w:eastAsia="黑体"/>
          <w:color w:val="auto"/>
          <w:sz w:val="44"/>
          <w:highlight w:val="none"/>
        </w:rPr>
        <w:t xml:space="preserve">月</w:t>
      </w:r>
      <w:r/>
    </w:p>
    <w:p>
      <w:pPr>
        <w:jc w:val="center"/>
        <w:rPr>
          <w:rFonts w:hint="eastAsia" w:ascii="黑体" w:hAnsi="Arial" w:eastAsia="黑体"/>
          <w:b/>
          <w:color w:val="auto"/>
          <w:sz w:val="44"/>
          <w:highlight w:val="none"/>
        </w:rPr>
      </w:pPr>
      <w:r>
        <w:rPr>
          <w:rFonts w:hint="eastAsia" w:ascii="黑体" w:hAnsi="Arial" w:eastAsia="黑体"/>
          <w:b/>
          <w:color w:val="auto"/>
          <w:sz w:val="44"/>
          <w:highlight w:val="none"/>
        </w:rPr>
      </w:r>
      <w:r/>
    </w:p>
    <w:p>
      <w:pPr>
        <w:jc w:val="center"/>
        <w:rPr>
          <w:rFonts w:ascii="黑体" w:hAnsi="Arial" w:eastAsia="黑体"/>
          <w:b/>
          <w:bCs/>
          <w:color w:val="auto"/>
          <w:sz w:val="44"/>
          <w:szCs w:val="44"/>
          <w:highlight w:val="none"/>
        </w:rPr>
      </w:pPr>
      <w:r>
        <w:rPr>
          <w:rFonts w:ascii="黑体" w:hAnsi="Arial" w:eastAsia="黑体"/>
          <w:b/>
          <w:bCs/>
          <w:color w:val="auto"/>
          <w:sz w:val="44"/>
          <w:szCs w:val="44"/>
          <w:highlight w:val="none"/>
        </w:rPr>
      </w:r>
      <w:r/>
    </w:p>
    <w:p>
      <w:pPr>
        <w:jc w:val="center"/>
        <w:rPr>
          <w:rFonts w:hint="eastAsia" w:ascii="黑体" w:hAnsi="Arial" w:eastAsia="黑体"/>
          <w:b/>
          <w:bCs/>
          <w:color w:val="auto"/>
          <w:sz w:val="44"/>
          <w:szCs w:val="44"/>
          <w:highlight w:val="none"/>
        </w:rPr>
        <w:sectPr>
          <w:headerReference w:type="default" r:id="rId9"/>
          <w:footnotePr/>
          <w:endnotePr/>
          <w:type w:val="nextPage"/>
          <w:pgSz w:w="11907" w:h="16840" w:orient="portrait"/>
          <w:pgMar w:top="607" w:right="851" w:bottom="811" w:left="1134" w:header="624" w:footer="992" w:gutter="0"/>
          <w:cols w:num="1" w:sep="0" w:space="1701" w:equalWidth="1"/>
          <w:docGrid w:linePitch="360"/>
        </w:sectPr>
      </w:pPr>
      <w:r>
        <w:rPr>
          <w:rFonts w:hint="eastAsia" w:ascii="黑体" w:hAnsi="Arial" w:eastAsia="黑体"/>
          <w:b/>
          <w:bCs/>
          <w:color w:val="auto"/>
          <w:sz w:val="44"/>
          <w:szCs w:val="44"/>
          <w:highlight w:val="none"/>
        </w:rPr>
      </w:r>
      <w:r/>
    </w:p>
    <w:p>
      <w:pPr>
        <w:jc w:val="center"/>
        <w:rPr>
          <w:rFonts w:hint="eastAsia" w:ascii="黑体" w:hAnsi="Arial" w:eastAsia="黑体"/>
          <w:b/>
          <w:bCs/>
          <w:color w:val="auto"/>
          <w:sz w:val="44"/>
          <w:szCs w:val="44"/>
          <w:highlight w:val="none"/>
        </w:rPr>
      </w:pPr>
      <w:r>
        <w:rPr>
          <w:rFonts w:hint="eastAsia" w:ascii="黑体" w:hAnsi="Arial" w:eastAsia="黑体"/>
          <w:b/>
          <w:bCs/>
          <w:color w:val="auto"/>
          <w:sz w:val="44"/>
          <w:szCs w:val="44"/>
          <w:highlight w:val="none"/>
        </w:rPr>
      </w:r>
      <w:r/>
    </w:p>
    <w:p>
      <w:pPr>
        <w:jc w:val="center"/>
        <w:rPr>
          <w:rFonts w:hint="eastAsia" w:ascii="黑体" w:hAnsi="Arial" w:eastAsia="黑体"/>
          <w:b/>
          <w:bCs/>
          <w:color w:val="auto"/>
          <w:sz w:val="44"/>
          <w:szCs w:val="44"/>
          <w:highlight w:val="none"/>
        </w:rPr>
      </w:pPr>
      <w:r>
        <w:rPr>
          <w:rFonts w:hint="eastAsia" w:ascii="黑体" w:hAnsi="Arial" w:eastAsia="黑体"/>
          <w:b/>
          <w:color w:val="auto"/>
          <w:sz w:val="44"/>
          <w:highlight w:val="none"/>
        </w:rPr>
        <w:t xml:space="preserve">总</w:t>
      </w:r>
      <w:r>
        <w:rPr>
          <w:rFonts w:ascii="黑体" w:hAnsi="Arial" w:eastAsia="黑体"/>
          <w:b/>
          <w:color w:val="auto"/>
          <w:sz w:val="44"/>
          <w:highlight w:val="none"/>
        </w:rPr>
        <w:t xml:space="preserve">  </w:t>
      </w:r>
      <w:r>
        <w:rPr>
          <w:rFonts w:hint="eastAsia" w:ascii="黑体" w:hAnsi="Arial" w:eastAsia="黑体"/>
          <w:b/>
          <w:color w:val="auto"/>
          <w:sz w:val="44"/>
          <w:highlight w:val="none"/>
        </w:rPr>
        <w:t xml:space="preserve">目</w:t>
      </w:r>
      <w:r>
        <w:rPr>
          <w:rFonts w:ascii="黑体" w:hAnsi="Arial" w:eastAsia="黑体"/>
          <w:b/>
          <w:color w:val="auto"/>
          <w:sz w:val="44"/>
          <w:highlight w:val="none"/>
        </w:rPr>
        <w:t xml:space="preserve">  </w:t>
      </w:r>
      <w:r>
        <w:rPr>
          <w:rFonts w:hint="eastAsia" w:ascii="黑体" w:hAnsi="Arial" w:eastAsia="黑体"/>
          <w:b/>
          <w:color w:val="auto"/>
          <w:sz w:val="44"/>
          <w:highlight w:val="none"/>
        </w:rPr>
        <w:t xml:space="preserve">录</w:t>
      </w:r>
      <w:r/>
    </w:p>
    <w:p>
      <w:pPr>
        <w:spacing w:line="700" w:lineRule="exact"/>
        <w:rPr>
          <w:rFonts w:hint="eastAsia" w:ascii="黑体" w:hAnsi="Arial" w:eastAsia="黑体"/>
          <w:color w:val="auto"/>
          <w:sz w:val="36"/>
          <w:highlight w:val="none"/>
        </w:rPr>
        <w:outlineLvl w:val="0"/>
      </w:pPr>
      <w:r>
        <w:rPr>
          <w:rFonts w:hint="eastAsia" w:ascii="黑体" w:hAnsi="Arial" w:eastAsia="黑体"/>
          <w:color w:val="auto"/>
          <w:sz w:val="36"/>
          <w:highlight w:val="none"/>
        </w:rPr>
      </w:r>
      <w:r/>
    </w:p>
    <w:p>
      <w:pPr>
        <w:spacing w:line="700" w:lineRule="exact"/>
        <w:rPr>
          <w:rFonts w:hint="eastAsia" w:ascii="Arial" w:hAnsi="Arial" w:eastAsia="黑体"/>
          <w:color w:val="auto"/>
          <w:sz w:val="36"/>
          <w:highlight w:val="none"/>
          <w:lang w:eastAsia="zh-CN"/>
        </w:rPr>
        <w:outlineLvl w:val="0"/>
      </w:pPr>
      <w:r>
        <w:rPr>
          <w:rFonts w:hint="eastAsia" w:ascii="黑体" w:hAnsi="Arial" w:eastAsia="黑体"/>
          <w:color w:val="auto"/>
          <w:sz w:val="36"/>
          <w:highlight w:val="none"/>
        </w:rPr>
        <w:t xml:space="preserve">第一章</w:t>
      </w:r>
      <w:r>
        <w:rPr>
          <w:rFonts w:ascii="黑体" w:hAnsi="Arial" w:eastAsia="黑体"/>
          <w:color w:val="auto"/>
          <w:sz w:val="36"/>
          <w:highlight w:val="none"/>
        </w:rPr>
        <w:t xml:space="preserve">  </w:t>
      </w:r>
      <w:r>
        <w:rPr>
          <w:rFonts w:hint="eastAsia" w:ascii="黑体" w:hAnsi="Arial" w:eastAsia="黑体"/>
          <w:color w:val="auto"/>
          <w:sz w:val="36"/>
          <w:highlight w:val="none"/>
          <w:lang w:eastAsia="zh-CN"/>
        </w:rPr>
        <w:t xml:space="preserve">磋商</w:t>
      </w:r>
      <w:r>
        <w:rPr>
          <w:rFonts w:hint="eastAsia" w:ascii="黑体" w:hAnsi="Arial" w:eastAsia="黑体"/>
          <w:color w:val="auto"/>
          <w:sz w:val="36"/>
          <w:highlight w:val="none"/>
        </w:rPr>
        <w:t xml:space="preserve">公告</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2</w:t>
      </w:r>
      <w:r/>
    </w:p>
    <w:p>
      <w:pPr>
        <w:spacing w:line="700" w:lineRule="exact"/>
        <w:rPr>
          <w:rFonts w:hint="eastAsia" w:ascii="黑体" w:hAnsi="Showcard Gothic" w:eastAsia="黑体"/>
          <w:color w:val="auto"/>
          <w:sz w:val="36"/>
          <w:highlight w:val="none"/>
        </w:rPr>
        <w:outlineLvl w:val="0"/>
      </w:pPr>
      <w:r>
        <w:rPr>
          <w:rFonts w:hint="eastAsia" w:ascii="黑体" w:hAnsi="Arial" w:eastAsia="黑体"/>
          <w:color w:val="auto"/>
          <w:sz w:val="36"/>
          <w:highlight w:val="none"/>
        </w:rPr>
        <w:t xml:space="preserve">第二章</w:t>
      </w:r>
      <w:r>
        <w:rPr>
          <w:rFonts w:ascii="黑体" w:hAnsi="Arial" w:eastAsia="黑体"/>
          <w:color w:val="auto"/>
          <w:sz w:val="36"/>
          <w:highlight w:val="none"/>
        </w:rPr>
        <w:t xml:space="preserve">  </w:t>
      </w:r>
      <w:r>
        <w:rPr>
          <w:rFonts w:hint="eastAsia" w:ascii="黑体" w:hAnsi="Arial" w:eastAsia="黑体"/>
          <w:color w:val="auto"/>
          <w:sz w:val="36"/>
          <w:highlight w:val="none"/>
        </w:rPr>
        <w:t xml:space="preserve">磋商须知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6</w:t>
      </w:r>
      <w:r/>
    </w:p>
    <w:p>
      <w:pPr>
        <w:spacing w:line="700" w:lineRule="exact"/>
        <w:rPr>
          <w:rFonts w:ascii="Arial" w:hAnsi="Arial" w:eastAsia="黑体"/>
          <w:color w:val="auto"/>
          <w:sz w:val="36"/>
          <w:highlight w:val="none"/>
        </w:rPr>
        <w:outlineLvl w:val="0"/>
      </w:pPr>
      <w:r>
        <w:rPr>
          <w:rFonts w:hint="eastAsia" w:ascii="黑体" w:hAnsi="Arial" w:eastAsia="黑体"/>
          <w:color w:val="auto"/>
          <w:sz w:val="36"/>
          <w:highlight w:val="none"/>
        </w:rPr>
        <w:t xml:space="preserve">第三章</w:t>
      </w:r>
      <w:r>
        <w:rPr>
          <w:rFonts w:ascii="黑体" w:hAnsi="Arial" w:eastAsia="黑体"/>
          <w:color w:val="auto"/>
          <w:sz w:val="36"/>
          <w:highlight w:val="none"/>
        </w:rPr>
        <w:t xml:space="preserve">  </w:t>
      </w:r>
      <w:r>
        <w:rPr>
          <w:rFonts w:hint="eastAsia" w:ascii="黑体" w:hAnsi="宋体" w:eastAsia="黑体"/>
          <w:color w:val="auto"/>
          <w:sz w:val="36"/>
          <w:highlight w:val="none"/>
        </w:rPr>
        <w:t xml:space="preserve">合同条款及格式</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22</w:t>
      </w:r>
      <w:r/>
    </w:p>
    <w:p>
      <w:pPr>
        <w:spacing w:line="700" w:lineRule="exact"/>
        <w:rPr>
          <w:rFonts w:ascii="黑体" w:hAnsi="Arial" w:eastAsia="黑体"/>
          <w:color w:val="auto"/>
          <w:sz w:val="36"/>
          <w:highlight w:val="none"/>
        </w:rPr>
        <w:outlineLvl w:val="0"/>
      </w:pPr>
      <w:r>
        <w:rPr>
          <w:rFonts w:hint="eastAsia" w:ascii="黑体" w:hAnsi="Arial" w:eastAsia="黑体"/>
          <w:color w:val="auto"/>
          <w:sz w:val="36"/>
          <w:highlight w:val="none"/>
        </w:rPr>
        <w:t xml:space="preserve">第四章</w:t>
      </w:r>
      <w:r>
        <w:rPr>
          <w:rFonts w:ascii="黑体" w:hAnsi="Arial" w:eastAsia="黑体"/>
          <w:color w:val="auto"/>
          <w:sz w:val="36"/>
          <w:highlight w:val="none"/>
        </w:rPr>
        <w:t xml:space="preserve">  </w:t>
      </w:r>
      <w:r>
        <w:rPr>
          <w:rFonts w:hint="eastAsia" w:ascii="黑体" w:hAnsi="宋体" w:eastAsia="黑体"/>
          <w:color w:val="auto"/>
          <w:sz w:val="36"/>
          <w:highlight w:val="none"/>
        </w:rPr>
        <w:t xml:space="preserve">项目需求</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30</w:t>
      </w:r>
      <w:r/>
    </w:p>
    <w:p>
      <w:pPr>
        <w:spacing w:line="700" w:lineRule="exact"/>
        <w:rPr>
          <w:rFonts w:ascii="??_GB2312" w:hAnsi="Arial" w:eastAsia="黑体"/>
          <w:color w:val="auto"/>
          <w:sz w:val="36"/>
          <w:highlight w:val="none"/>
        </w:rPr>
        <w:outlineLvl w:val="0"/>
      </w:pPr>
      <w:r>
        <w:rPr>
          <w:rFonts w:hint="eastAsia" w:ascii="黑体" w:hAnsi="Arial" w:eastAsia="黑体"/>
          <w:color w:val="auto"/>
          <w:sz w:val="36"/>
          <w:highlight w:val="none"/>
        </w:rPr>
        <w:t xml:space="preserve">第五章</w:t>
      </w:r>
      <w:r>
        <w:rPr>
          <w:rFonts w:ascii="黑体" w:hAnsi="Arial" w:eastAsia="黑体"/>
          <w:color w:val="auto"/>
          <w:sz w:val="36"/>
          <w:highlight w:val="none"/>
        </w:rPr>
        <w:t xml:space="preserve">  </w:t>
      </w:r>
      <w:r>
        <w:rPr>
          <w:rFonts w:hint="eastAsia" w:ascii="黑体" w:hAnsi="宋体" w:eastAsia="黑体"/>
          <w:bCs/>
          <w:color w:val="auto"/>
          <w:sz w:val="36"/>
          <w:szCs w:val="36"/>
          <w:highlight w:val="none"/>
          <w:lang w:eastAsia="zh-CN"/>
        </w:rPr>
        <w:t xml:space="preserve">评审方法与评审标准</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35</w:t>
      </w:r>
      <w:r/>
    </w:p>
    <w:p>
      <w:pPr>
        <w:spacing w:line="700" w:lineRule="exact"/>
        <w:rPr>
          <w:rFonts w:hint="default" w:ascii="黑体" w:hAnsi="Arial" w:eastAsia="黑体"/>
          <w:color w:val="auto"/>
          <w:sz w:val="36"/>
          <w:highlight w:val="none"/>
          <w:lang w:val="en-US"/>
        </w:rPr>
        <w:outlineLvl w:val="0"/>
      </w:pPr>
      <w:r>
        <w:rPr>
          <w:rFonts w:hint="eastAsia" w:ascii="黑体" w:hAnsi="Arial" w:eastAsia="黑体"/>
          <w:color w:val="auto"/>
          <w:sz w:val="36"/>
          <w:highlight w:val="none"/>
        </w:rPr>
        <w:t xml:space="preserve">第六章</w:t>
      </w:r>
      <w:r>
        <w:rPr>
          <w:rFonts w:ascii="黑体" w:hAnsi="Arial" w:eastAsia="黑体"/>
          <w:color w:val="auto"/>
          <w:sz w:val="36"/>
          <w:highlight w:val="none"/>
        </w:rPr>
        <w:t xml:space="preserve">  </w:t>
      </w:r>
      <w:r>
        <w:rPr>
          <w:rFonts w:hint="eastAsia" w:ascii="黑体" w:hAnsi="宋体" w:eastAsia="黑体"/>
          <w:color w:val="auto"/>
          <w:sz w:val="36"/>
          <w:highlight w:val="none"/>
        </w:rPr>
        <w:t xml:space="preserve">响应文件格式</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39</w:t>
      </w:r>
      <w:r/>
    </w:p>
    <w:p>
      <w:pPr>
        <w:jc w:val="center"/>
        <w:spacing w:before="203" w:after="203"/>
        <w:rPr>
          <w:rFonts w:eastAsia="黑体"/>
          <w:color w:val="auto"/>
          <w:sz w:val="30"/>
          <w:szCs w:val="30"/>
          <w:highlight w:val="none"/>
        </w:rPr>
      </w:pPr>
      <w:r>
        <w:rPr>
          <w:color w:val="auto"/>
          <w:highlight w:val="none"/>
        </w:rPr>
        <w:br w:type="page" w:clear="all"/>
      </w:r>
      <w:r>
        <w:rPr>
          <w:rFonts w:hint="eastAsia" w:ascii="黑体" w:hAnsi="Arial" w:eastAsia="黑体"/>
          <w:color w:val="auto"/>
          <w:sz w:val="44"/>
          <w:szCs w:val="44"/>
          <w:highlight w:val="none"/>
        </w:rPr>
        <w:t xml:space="preserve">第一章</w:t>
      </w:r>
      <w:r>
        <w:rPr>
          <w:rFonts w:ascii="黑体" w:hAnsi="Arial" w:eastAsia="黑体"/>
          <w:color w:val="auto"/>
          <w:sz w:val="44"/>
          <w:szCs w:val="44"/>
          <w:highlight w:val="none"/>
        </w:rPr>
        <w:t xml:space="preserve">  </w:t>
      </w:r>
      <w:r>
        <w:rPr>
          <w:rFonts w:hint="eastAsia" w:ascii="黑体" w:hAnsi="Arial" w:eastAsia="黑体"/>
          <w:color w:val="auto"/>
          <w:sz w:val="44"/>
          <w:szCs w:val="44"/>
          <w:highlight w:val="none"/>
        </w:rPr>
        <w:t xml:space="preserve">竞争性磋商</w:t>
      </w:r>
      <w:r>
        <w:rPr>
          <w:rFonts w:hint="eastAsia" w:ascii="黑体" w:hAnsi="Arial" w:eastAsia="黑体"/>
          <w:color w:val="auto"/>
          <w:sz w:val="48"/>
          <w:highlight w:val="none"/>
        </w:rPr>
        <w:t xml:space="preserve">公告</w:t>
      </w:r>
      <w:r/>
    </w:p>
    <w:p>
      <w:pPr>
        <w:ind w:firstLine="480"/>
        <w:jc w:val="left"/>
        <w:spacing w:line="360" w:lineRule="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盐城市土壤污染状况调查、风险评估、修复效果评估报告评审以及质量控制技术服务</w:t>
      </w:r>
      <w:r>
        <w:rPr>
          <w:rFonts w:hint="eastAsia" w:ascii="宋体" w:hAnsi="宋体" w:eastAsia="宋体" w:cs="宋体"/>
          <w:color w:val="auto"/>
          <w:sz w:val="24"/>
          <w:szCs w:val="24"/>
          <w:highlight w:val="none"/>
        </w:rPr>
        <w:t xml:space="preserve">采购项目的潜在供应商应在</w:t>
      </w:r>
      <w:r>
        <w:rPr>
          <w:rFonts w:hint="eastAsia" w:ascii="宋体" w:hAnsi="宋体" w:eastAsia="宋体" w:cs="宋体"/>
          <w:color w:val="auto"/>
          <w:sz w:val="24"/>
          <w:szCs w:val="24"/>
          <w:highlight w:val="none"/>
          <w:shd w:val="clear" w:color="auto" w:fill="ffffff"/>
        </w:rPr>
        <w:t xml:space="preserve">“苏采云”系统内免费下载（投标人必须在苏采云系统中获</w:t>
      </w:r>
      <w:r>
        <w:rPr>
          <w:rFonts w:hint="eastAsia" w:ascii="宋体" w:hAnsi="宋体" w:eastAsia="宋体" w:cs="宋体"/>
          <w:color w:val="auto"/>
          <w:sz w:val="24"/>
          <w:szCs w:val="24"/>
          <w:highlight w:val="none"/>
        </w:rPr>
        <w:t xml:space="preserve">取磋商文件，方</w:t>
      </w:r>
      <w:r>
        <w:rPr>
          <w:rFonts w:hint="eastAsia" w:ascii="宋体" w:hAnsi="宋体" w:eastAsia="宋体" w:cs="宋体"/>
          <w:color w:val="auto"/>
          <w:sz w:val="24"/>
          <w:szCs w:val="24"/>
          <w:highlight w:val="none"/>
          <w:shd w:val="clear" w:color="auto" w:fill="ffffff"/>
        </w:rPr>
        <w:t xml:space="preserve">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rPr>
        <w:t xml:space="preserve">2025年</w:t>
      </w:r>
      <w:r>
        <w:rPr>
          <w:rFonts w:hint="eastAsia" w:ascii="宋体" w:hAnsi="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16</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点00分（</w:t>
      </w:r>
      <w:r>
        <w:rPr>
          <w:rFonts w:hint="eastAsia" w:ascii="宋体" w:hAnsi="宋体" w:eastAsia="宋体" w:cs="宋体"/>
          <w:color w:val="auto"/>
          <w:sz w:val="24"/>
          <w:szCs w:val="24"/>
          <w:highlight w:val="none"/>
        </w:rPr>
        <w:t xml:space="preserve">北京时间）前递交响应文件</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b/>
          <w:color w:val="auto"/>
          <w:spacing w:val="15"/>
          <w:sz w:val="24"/>
          <w:szCs w:val="24"/>
          <w:highlight w:val="none"/>
        </w:rPr>
      </w:pPr>
      <w:r/>
      <w:bookmarkStart w:id="2" w:name="_Toc28359079"/>
      <w:r/>
      <w:bookmarkStart w:id="3" w:name="_Toc28359002"/>
      <w:r/>
      <w:bookmarkStart w:id="4" w:name="_Toc35393621"/>
      <w:r/>
      <w:bookmarkStart w:id="5" w:name="_Toc35393790"/>
      <w:r/>
      <w:bookmarkStart w:id="6" w:name="_Hlk24379207"/>
      <w:r>
        <w:rPr>
          <w:rFonts w:hint="eastAsia" w:ascii="宋体" w:hAnsi="宋体" w:cs="宋体"/>
          <w:b/>
          <w:color w:val="auto"/>
          <w:spacing w:val="15"/>
          <w:sz w:val="24"/>
          <w:szCs w:val="24"/>
          <w:highlight w:val="none"/>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JSZC-320900-YJZC-C2025-0003</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项目名称：</w:t>
      </w:r>
      <w:bookmarkEnd w:id="6"/>
      <w:r>
        <w:rPr>
          <w:rFonts w:hint="eastAsia" w:ascii="宋体" w:hAnsi="宋体" w:cs="宋体"/>
          <w:color w:val="auto"/>
          <w:sz w:val="24"/>
          <w:szCs w:val="24"/>
          <w:highlight w:val="none"/>
          <w:lang w:eastAsia="zh-CN"/>
        </w:rPr>
        <w:t xml:space="preserve">盐城市土壤污染状况调查、风险评估、修复效果评估报告评审以及质量控制技术服务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3.采购方式：竞争性磋商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预算金额：人民币</w:t>
      </w:r>
      <w:r>
        <w:rPr>
          <w:rFonts w:hint="eastAsia" w:ascii="宋体" w:hAnsi="宋体" w:cs="宋体"/>
          <w:color w:val="auto"/>
          <w:sz w:val="24"/>
          <w:szCs w:val="24"/>
          <w:highlight w:val="none"/>
          <w:lang w:val="en-US" w:eastAsia="zh-CN"/>
        </w:rPr>
        <w:t xml:space="preserve">80</w:t>
      </w:r>
      <w:r>
        <w:rPr>
          <w:rFonts w:hint="eastAsia" w:ascii="宋体" w:hAnsi="宋体" w:cs="宋体"/>
          <w:color w:val="auto"/>
          <w:sz w:val="24"/>
          <w:szCs w:val="24"/>
          <w:highlight w:val="none"/>
        </w:rPr>
        <w:t xml:space="preserve">万元。</w:t>
      </w:r>
      <w:r/>
    </w:p>
    <w:p>
      <w:pPr>
        <w:ind w:firstLine="48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最高限价：</w:t>
      </w:r>
      <w:r>
        <w:rPr>
          <w:rFonts w:hint="eastAsia" w:ascii="宋体" w:hAnsi="宋体" w:cs="宋体"/>
          <w:b w:val="0"/>
          <w:bCs w:val="0"/>
          <w:color w:val="auto"/>
          <w:sz w:val="24"/>
          <w:szCs w:val="24"/>
          <w:highlight w:val="none"/>
        </w:rPr>
        <w:t xml:space="preserve">人民币</w:t>
      </w:r>
      <w:r>
        <w:rPr>
          <w:rFonts w:hint="eastAsia" w:ascii="宋体" w:hAnsi="宋体" w:cs="宋体"/>
          <w:b w:val="0"/>
          <w:bCs w:val="0"/>
          <w:color w:val="auto"/>
          <w:sz w:val="24"/>
          <w:szCs w:val="24"/>
          <w:highlight w:val="none"/>
          <w:lang w:val="en-US" w:eastAsia="zh-CN"/>
        </w:rPr>
        <w:t xml:space="preserve">80</w:t>
      </w:r>
      <w:r>
        <w:rPr>
          <w:rFonts w:hint="eastAsia" w:ascii="宋体" w:hAnsi="宋体" w:cs="宋体"/>
          <w:b w:val="0"/>
          <w:bCs w:val="0"/>
          <w:color w:val="auto"/>
          <w:sz w:val="24"/>
          <w:szCs w:val="24"/>
          <w:highlight w:val="none"/>
        </w:rPr>
        <w:t xml:space="preserve">万元。</w:t>
      </w:r>
      <w:r/>
    </w:p>
    <w:p>
      <w:pPr>
        <w:ind w:firstLine="480"/>
        <w:spacing w:line="360" w:lineRule="auto"/>
        <w:rPr>
          <w:rFonts w:hint="eastAsia" w:ascii="宋体" w:hAnsi="宋体" w:eastAsia="宋体" w:cs="宋体"/>
          <w:color w:val="auto"/>
          <w:sz w:val="24"/>
          <w:szCs w:val="24"/>
          <w:highlight w:val="none"/>
        </w:rPr>
      </w:pPr>
      <w:r/>
      <w:bookmarkStart w:id="7" w:name="_Toc35393791"/>
      <w:r/>
      <w:bookmarkStart w:id="8" w:name="_Toc28359003"/>
      <w:r/>
      <w:bookmarkStart w:id="9" w:name="_Toc35393622"/>
      <w:r/>
      <w:bookmarkStart w:id="10" w:name="_Toc28359080"/>
      <w:r>
        <w:rPr>
          <w:rFonts w:hint="eastAsia" w:ascii="宋体" w:hAnsi="宋体" w:eastAsia="宋体" w:cs="宋体"/>
          <w:color w:val="auto"/>
          <w:sz w:val="24"/>
          <w:szCs w:val="24"/>
          <w:highlight w:val="none"/>
        </w:rPr>
        <w:t xml:space="preserve">6.采购需求：</w:t>
      </w:r>
      <w:bookmarkStart w:id="11" w:name="OLE_LINK3"/>
      <w:r>
        <w:rPr>
          <w:rFonts w:hint="default" w:ascii="宋体" w:hAnsi="宋体" w:eastAsia="宋体" w:cs="宋体"/>
          <w:color w:val="auto"/>
          <w:sz w:val="24"/>
          <w:szCs w:val="24"/>
          <w:highlight w:val="none"/>
        </w:rPr>
        <w:t xml:space="preserve">根据《江苏省土壤污染防治条例》、《省政府办公厅关于印发江苏省深入打好净土保卫战实施方案的通知》（苏政办发〔2022〕78号）和《关于印发〈建设用地土壤污染状况调查、风险评估、风险管控及修复效果评估报告评审指南〉的通知》（环办土壤〔2019〕63号）要求，拟委托第三方对土壤污染状况调查、风险评估、修复效果评估报告评审以及质量控制工作提供技术服务。</w:t>
      </w:r>
      <w:r>
        <w:rPr>
          <w:rFonts w:hint="eastAsia" w:ascii="宋体" w:hAnsi="宋体" w:eastAsia="宋体" w:cs="宋体"/>
          <w:color w:val="auto"/>
          <w:sz w:val="24"/>
          <w:szCs w:val="24"/>
          <w:highlight w:val="none"/>
        </w:rPr>
        <w:t xml:space="preserve">具体内容及要求详见</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文件采购需求。</w:t>
      </w:r>
      <w:bookmarkEnd w:id="11"/>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7.合同履行期限：</w:t>
      </w:r>
      <w:r>
        <w:rPr>
          <w:rFonts w:hint="eastAsia" w:ascii="宋体" w:hAnsi="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8.本项目（是/否）接受联合体：否。</w:t>
      </w:r>
      <w:r/>
    </w:p>
    <w:p>
      <w:pPr>
        <w:ind w:firstLine="531"/>
        <w:spacing w:line="360" w:lineRule="auto"/>
        <w:rPr>
          <w:rFonts w:hint="eastAsia" w:ascii="宋体" w:hAnsi="宋体" w:cs="宋体"/>
          <w:b/>
          <w:color w:val="auto"/>
          <w:spacing w:val="15"/>
          <w:sz w:val="24"/>
          <w:szCs w:val="24"/>
          <w:highlight w:val="none"/>
        </w:rPr>
      </w:pPr>
      <w:r>
        <w:rPr>
          <w:rFonts w:hint="eastAsia" w:ascii="宋体" w:hAnsi="宋体" w:cs="宋体"/>
          <w:b/>
          <w:color w:val="auto"/>
          <w:spacing w:val="15"/>
          <w:sz w:val="24"/>
          <w:szCs w:val="24"/>
          <w:highlight w:val="none"/>
        </w:rPr>
        <w:t xml:space="preserve">二、申请人的资格要求：</w:t>
      </w:r>
      <w:bookmarkEnd w:id="7"/>
      <w:r/>
      <w:bookmarkEnd w:id="8"/>
      <w:r/>
      <w:bookmarkEnd w:id="9"/>
      <w:r/>
      <w:bookmarkEnd w:id="10"/>
      <w:r/>
      <w:r/>
    </w:p>
    <w:p>
      <w:pPr>
        <w:ind w:firstLine="480"/>
        <w:spacing w:line="360" w:lineRule="auto"/>
        <w:rPr>
          <w:rFonts w:hint="eastAsia" w:ascii="宋体" w:hAnsi="宋体" w:eastAsia="宋体" w:cs="宋体"/>
          <w:color w:val="auto"/>
          <w:sz w:val="24"/>
          <w:szCs w:val="24"/>
          <w:highlight w:val="none"/>
        </w:rPr>
      </w:pPr>
      <w:r/>
      <w:bookmarkStart w:id="12" w:name="_Toc28359081"/>
      <w:r/>
      <w:bookmarkStart w:id="13" w:name="_Toc35393623"/>
      <w:r/>
      <w:bookmarkStart w:id="14" w:name="_Toc28359004"/>
      <w:r/>
      <w:bookmarkStart w:id="15" w:name="_Toc35393792"/>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1.2上一年度的财务状况报告（成立不满一年无需提供）。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w:t>
      </w:r>
      <w:r>
        <w:rPr>
          <w:rFonts w:hint="eastAsia" w:ascii="宋体" w:hAnsi="宋体" w:cs="宋体"/>
          <w:b w:val="0"/>
          <w:bCs w:val="0"/>
          <w:color w:val="auto"/>
          <w:sz w:val="24"/>
          <w:szCs w:val="24"/>
          <w:highlight w:val="none"/>
          <w:lang w:eastAsia="zh-CN"/>
        </w:rPr>
        <w:t xml:space="preserve">本项目专门面向中小企业采购，采购标的的所属行业为</w:t>
      </w:r>
      <w:r>
        <w:rPr>
          <w:rFonts w:hint="eastAsia" w:ascii="宋体" w:hAnsi="宋体" w:eastAsia="宋体" w:cs="宋体"/>
          <w:b w:val="0"/>
          <w:bCs w:val="0"/>
          <w:color w:val="auto"/>
          <w:sz w:val="24"/>
          <w:szCs w:val="24"/>
          <w:highlight w:val="none"/>
          <w:u w:val="single"/>
        </w:rPr>
        <w:t xml:space="preserve">其他未列明行业</w:t>
      </w:r>
      <w:r>
        <w:rPr>
          <w:rFonts w:hint="eastAsia" w:ascii="宋体" w:hAnsi="宋体" w:cs="宋体"/>
          <w:b w:val="0"/>
          <w:bCs w:val="0"/>
          <w:color w:val="auto"/>
          <w:sz w:val="24"/>
          <w:szCs w:val="24"/>
          <w:highlight w:val="none"/>
          <w:lang w:eastAsia="zh-CN"/>
        </w:rPr>
        <w:t xml:space="preserve">。投标人需按照采购文件的要求提供相应的《中小企业声明函》。企业标准请参照《关于印发中小企业划型标准规定的通知》（工信部联企业[2011]300号）文件规定自行填写。</w:t>
      </w:r>
      <w:r/>
    </w:p>
    <w:p>
      <w:pPr>
        <w:numPr>
          <w:ilvl w:val="0"/>
          <w:numId w:val="0"/>
        </w:num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rPr>
        <w:t xml:space="preserve">本项目的特定资格要求：</w:t>
      </w:r>
      <w:r/>
    </w:p>
    <w:p>
      <w:pPr>
        <w:numPr>
          <w:ilvl w:val="0"/>
          <w:numId w:val="0"/>
        </w:numPr>
        <w:ind w:firstLine="480"/>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3.1</w:t>
      </w:r>
      <w:r>
        <w:rPr>
          <w:rFonts w:hint="eastAsia" w:ascii="宋体" w:hAnsi="宋体" w:cs="宋体"/>
          <w:b w:val="0"/>
          <w:bCs w:val="0"/>
          <w:color w:val="auto"/>
          <w:sz w:val="24"/>
          <w:szCs w:val="24"/>
          <w:highlight w:val="none"/>
          <w:lang w:eastAsia="zh-CN"/>
        </w:rPr>
        <w:t xml:space="preserve">投标人</w:t>
      </w:r>
      <w:r>
        <w:rPr>
          <w:rFonts w:hint="eastAsia" w:ascii="宋体" w:hAnsi="宋体" w:cs="宋体"/>
          <w:b w:val="0"/>
          <w:bCs w:val="0"/>
          <w:color w:val="auto"/>
          <w:sz w:val="24"/>
          <w:szCs w:val="24"/>
          <w:highlight w:val="none"/>
          <w:lang w:val="en-US" w:eastAsia="zh-CN"/>
        </w:rPr>
        <w:t xml:space="preserve">应承诺</w:t>
      </w:r>
      <w:r>
        <w:rPr>
          <w:rFonts w:hint="eastAsia" w:ascii="宋体" w:hAnsi="宋体" w:cs="宋体"/>
          <w:b w:val="0"/>
          <w:bCs w:val="0"/>
          <w:color w:val="auto"/>
          <w:sz w:val="24"/>
          <w:szCs w:val="24"/>
          <w:highlight w:val="none"/>
          <w:lang w:eastAsia="zh-CN"/>
        </w:rPr>
        <w:t xml:space="preserve">承担技术支撑合同期内不得承接盐城市境内的所有土壤污染状况调查、风险评估、风险管控和修复活动相关项目（</w:t>
      </w:r>
      <w:r>
        <w:rPr>
          <w:rFonts w:hint="eastAsia" w:ascii="宋体" w:hAnsi="宋体" w:cs="宋体"/>
          <w:b w:val="0"/>
          <w:bCs w:val="0"/>
          <w:color w:val="auto"/>
          <w:sz w:val="24"/>
          <w:szCs w:val="24"/>
          <w:highlight w:val="none"/>
          <w:lang w:val="en-US" w:eastAsia="zh-CN"/>
        </w:rPr>
        <w:t xml:space="preserve">投标时</w:t>
      </w:r>
      <w:r>
        <w:rPr>
          <w:rFonts w:hint="eastAsia" w:ascii="宋体" w:hAnsi="宋体" w:cs="宋体"/>
          <w:b w:val="0"/>
          <w:bCs w:val="0"/>
          <w:color w:val="auto"/>
          <w:sz w:val="24"/>
          <w:szCs w:val="24"/>
          <w:highlight w:val="none"/>
          <w:lang w:eastAsia="zh-CN"/>
        </w:rPr>
        <w:t xml:space="preserve">须</w:t>
      </w:r>
      <w:r>
        <w:rPr>
          <w:rFonts w:hint="eastAsia" w:ascii="宋体" w:hAnsi="宋体" w:cs="宋体"/>
          <w:b w:val="0"/>
          <w:bCs w:val="0"/>
          <w:color w:val="auto"/>
          <w:sz w:val="24"/>
          <w:szCs w:val="24"/>
          <w:highlight w:val="none"/>
          <w:lang w:val="en-US" w:eastAsia="zh-CN"/>
        </w:rPr>
        <w:t xml:space="preserve">提供承诺函，格式自制）</w:t>
      </w:r>
      <w:r>
        <w:rPr>
          <w:rFonts w:hint="eastAsia" w:ascii="宋体" w:hAnsi="宋体" w:cs="宋体"/>
          <w:b w:val="0"/>
          <w:bCs w:val="0"/>
          <w:color w:val="auto"/>
          <w:sz w:val="24"/>
          <w:szCs w:val="24"/>
          <w:highlight w:val="none"/>
          <w:lang w:eastAsia="zh-CN"/>
        </w:rPr>
        <w:t xml:space="preserve">。</w:t>
      </w:r>
      <w:r/>
    </w:p>
    <w:p>
      <w:pPr>
        <w:numPr>
          <w:ilvl w:val="0"/>
          <w:numId w:val="0"/>
        </w:numPr>
        <w:ind w:firstLine="480"/>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3.2投标人须派遣一名</w:t>
      </w:r>
      <w:r>
        <w:rPr>
          <w:rFonts w:hint="eastAsia" w:ascii="宋体" w:hAnsi="宋体" w:cs="宋体"/>
          <w:b w:val="0"/>
          <w:bCs w:val="0"/>
          <w:color w:val="auto"/>
          <w:sz w:val="24"/>
          <w:szCs w:val="24"/>
          <w:highlight w:val="none"/>
          <w:lang w:eastAsia="zh-CN"/>
        </w:rPr>
        <w:t xml:space="preserve">驻点</w:t>
      </w:r>
      <w:r>
        <w:rPr>
          <w:rFonts w:hint="eastAsia" w:ascii="宋体" w:hAnsi="宋体" w:cs="宋体"/>
          <w:b w:val="0"/>
          <w:bCs w:val="0"/>
          <w:color w:val="auto"/>
          <w:sz w:val="24"/>
          <w:szCs w:val="24"/>
          <w:highlight w:val="none"/>
          <w:lang w:eastAsia="zh-CN"/>
        </w:rPr>
        <w:t xml:space="preserve">服务</w:t>
      </w:r>
      <w:r>
        <w:rPr>
          <w:rFonts w:hint="eastAsia" w:ascii="宋体" w:hAnsi="宋体" w:cs="宋体"/>
          <w:b w:val="0"/>
          <w:bCs w:val="0"/>
          <w:color w:val="auto"/>
          <w:sz w:val="24"/>
          <w:szCs w:val="24"/>
          <w:highlight w:val="none"/>
          <w:lang w:eastAsia="zh-CN"/>
        </w:rPr>
        <w:t xml:space="preserve">人员，驻点</w:t>
      </w:r>
      <w:r>
        <w:rPr>
          <w:rFonts w:hint="eastAsia" w:ascii="宋体" w:hAnsi="宋体" w:cs="宋体"/>
          <w:b w:val="0"/>
          <w:bCs w:val="0"/>
          <w:color w:val="auto"/>
          <w:sz w:val="24"/>
          <w:szCs w:val="24"/>
          <w:highlight w:val="none"/>
          <w:lang w:eastAsia="zh-CN"/>
        </w:rPr>
        <w:t xml:space="preserve">服务</w:t>
      </w:r>
      <w:r>
        <w:rPr>
          <w:rFonts w:hint="eastAsia" w:ascii="宋体" w:hAnsi="宋体" w:cs="宋体"/>
          <w:b w:val="0"/>
          <w:bCs w:val="0"/>
          <w:color w:val="auto"/>
          <w:sz w:val="24"/>
          <w:szCs w:val="24"/>
          <w:highlight w:val="none"/>
          <w:lang w:eastAsia="zh-CN"/>
        </w:rPr>
        <w:t xml:space="preserve">人员须具备中级及以上职称和3年以上环保工作经验，合同期间内不得随意更换驻点人员（人员离职除外，投标时须提供职称证书以及单位承诺函，其</w:t>
      </w:r>
      <w:r>
        <w:rPr>
          <w:rFonts w:hint="eastAsia" w:ascii="宋体" w:hAnsi="宋体" w:cs="宋体"/>
          <w:b w:val="0"/>
          <w:bCs w:val="0"/>
          <w:color w:val="auto"/>
          <w:sz w:val="24"/>
          <w:szCs w:val="24"/>
          <w:highlight w:val="none"/>
          <w:lang w:val="en-US" w:eastAsia="zh-CN"/>
        </w:rPr>
        <w:t xml:space="preserve">格式自制</w:t>
      </w:r>
      <w:r>
        <w:rPr>
          <w:rFonts w:hint="eastAsia" w:ascii="宋体" w:hAnsi="宋体" w:cs="宋体"/>
          <w:b w:val="0"/>
          <w:bCs w:val="0"/>
          <w:color w:val="auto"/>
          <w:sz w:val="24"/>
          <w:szCs w:val="24"/>
          <w:highlight w:val="none"/>
          <w:lang w:eastAsia="zh-CN"/>
        </w:rPr>
        <w:t xml:space="preserve">）。</w:t>
      </w:r>
      <w:r/>
    </w:p>
    <w:p>
      <w:pPr>
        <w:numPr>
          <w:ilvl w:val="0"/>
          <w:numId w:val="0"/>
        </w:numPr>
        <w:ind w:firstLine="480"/>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3.3投标人应承诺对评估事项履行保密义务，不得将工作过程及结果用于与评估事项无关的目的</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投标时</w:t>
      </w:r>
      <w:r>
        <w:rPr>
          <w:rFonts w:hint="eastAsia" w:ascii="宋体" w:hAnsi="宋体" w:cs="宋体"/>
          <w:b w:val="0"/>
          <w:bCs w:val="0"/>
          <w:color w:val="auto"/>
          <w:sz w:val="24"/>
          <w:szCs w:val="24"/>
          <w:highlight w:val="none"/>
          <w:lang w:eastAsia="zh-CN"/>
        </w:rPr>
        <w:t xml:space="preserve">须</w:t>
      </w:r>
      <w:r>
        <w:rPr>
          <w:rFonts w:hint="eastAsia" w:ascii="宋体" w:hAnsi="宋体" w:cs="宋体"/>
          <w:b w:val="0"/>
          <w:bCs w:val="0"/>
          <w:color w:val="auto"/>
          <w:sz w:val="24"/>
          <w:szCs w:val="24"/>
          <w:highlight w:val="none"/>
          <w:lang w:val="en-US" w:eastAsia="zh-CN"/>
        </w:rPr>
        <w:t xml:space="preserve">提供承诺函，格式自制）。</w:t>
      </w:r>
      <w:r/>
    </w:p>
    <w:p>
      <w:pPr>
        <w:ind w:firstLine="531"/>
        <w:spacing w:line="360" w:lineRule="auto"/>
        <w:rPr>
          <w:rFonts w:hint="eastAsia" w:ascii="宋体" w:hAnsi="宋体" w:cs="宋体"/>
          <w:b/>
          <w:color w:val="auto"/>
          <w:spacing w:val="15"/>
          <w:sz w:val="24"/>
          <w:szCs w:val="24"/>
          <w:highlight w:val="none"/>
        </w:rPr>
      </w:pPr>
      <w:r>
        <w:rPr>
          <w:rFonts w:hint="eastAsia" w:ascii="宋体" w:hAnsi="宋体" w:cs="宋体"/>
          <w:b/>
          <w:color w:val="auto"/>
          <w:spacing w:val="15"/>
          <w:sz w:val="24"/>
          <w:szCs w:val="24"/>
          <w:highlight w:val="none"/>
        </w:rPr>
        <w:t xml:space="preserve">三、获取</w:t>
      </w:r>
      <w:bookmarkEnd w:id="12"/>
      <w:r/>
      <w:bookmarkEnd w:id="13"/>
      <w:r/>
      <w:bookmarkEnd w:id="14"/>
      <w:r/>
      <w:bookmarkEnd w:id="15"/>
      <w:r>
        <w:rPr>
          <w:rFonts w:hint="eastAsia" w:ascii="宋体" w:hAnsi="宋体" w:cs="宋体"/>
          <w:b/>
          <w:color w:val="auto"/>
          <w:spacing w:val="15"/>
          <w:sz w:val="24"/>
          <w:szCs w:val="24"/>
          <w:highlight w:val="none"/>
        </w:rPr>
        <w:t xml:space="preserve">磋商文件</w:t>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bookmarkStart w:id="16" w:name="_Toc38985266"/>
      <w:r/>
      <w:bookmarkStart w:id="17" w:name="_Toc35393793"/>
      <w:r/>
      <w:bookmarkStart w:id="18" w:name="_Toc28359005"/>
      <w:r/>
      <w:bookmarkStart w:id="19" w:name="_Toc28359082"/>
      <w:r/>
      <w:bookmarkStart w:id="20" w:name="_Toc35393624"/>
      <w:r>
        <w:rPr>
          <w:rFonts w:hint="eastAsia" w:ascii="宋体" w:hAnsi="宋体" w:eastAsia="宋体" w:cs="宋体"/>
          <w:color w:val="auto"/>
          <w:highlight w:val="none"/>
          <w:shd w:val="clear" w:color="auto" w:fill="ffffff"/>
        </w:rPr>
        <w:t xml:space="preserve">1.时间：自磋商文件公告发布之日起5个工作日。</w:t>
      </w:r>
      <w:bookmarkEnd w:id="16"/>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2.地点：“苏采云”系统内免费下载（投标人必须在苏采云系统中获取磋商文件，方能参与政府采购项目）。</w:t>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3.方式：本项目采用网上注册登记方式。 </w:t>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4.售价：0元</w:t>
      </w:r>
      <w:r/>
    </w:p>
    <w:p>
      <w:pPr>
        <w:ind w:firstLine="531"/>
        <w:spacing w:line="360" w:lineRule="auto"/>
        <w:rPr>
          <w:rFonts w:hint="eastAsia" w:ascii="宋体" w:hAnsi="宋体" w:cs="宋体"/>
          <w:b/>
          <w:color w:val="auto"/>
          <w:spacing w:val="15"/>
          <w:sz w:val="24"/>
          <w:szCs w:val="24"/>
          <w:highlight w:val="none"/>
        </w:rPr>
      </w:pPr>
      <w:r>
        <w:rPr>
          <w:rFonts w:hint="eastAsia" w:ascii="宋体" w:hAnsi="宋体" w:cs="宋体"/>
          <w:b/>
          <w:color w:val="auto"/>
          <w:spacing w:val="15"/>
          <w:sz w:val="24"/>
          <w:szCs w:val="24"/>
          <w:highlight w:val="none"/>
        </w:rPr>
        <w:t xml:space="preserve">四、响应文件提交</w:t>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1.截止时间：</w:t>
      </w:r>
      <w:r>
        <w:rPr>
          <w:rFonts w:hint="eastAsia" w:ascii="宋体" w:hAnsi="宋体" w:eastAsia="宋体" w:cs="宋体"/>
          <w:color w:val="auto"/>
          <w:highlight w:val="none"/>
          <w:u w:val="single"/>
          <w:shd w:val="clear" w:color="auto" w:fill="ffffff"/>
        </w:rPr>
        <w:t xml:space="preserve">2025年</w:t>
      </w:r>
      <w:r>
        <w:rPr>
          <w:rFonts w:hint="eastAsia" w:cs="宋体"/>
          <w:color w:val="auto"/>
          <w:highlight w:val="none"/>
          <w:u w:val="single"/>
          <w:shd w:val="clear" w:color="auto" w:fill="ffffff"/>
          <w:lang w:val="en-US" w:eastAsia="zh-CN"/>
        </w:rPr>
        <w:t xml:space="preserve">12</w:t>
      </w:r>
      <w:r>
        <w:rPr>
          <w:rFonts w:hint="eastAsia" w:ascii="宋体" w:hAnsi="宋体" w:eastAsia="宋体" w:cs="宋体"/>
          <w:color w:val="auto"/>
          <w:highlight w:val="none"/>
          <w:u w:val="single"/>
          <w:shd w:val="clear" w:color="auto" w:fill="ffffff"/>
        </w:rPr>
        <w:t xml:space="preserve">月</w:t>
      </w:r>
      <w:r>
        <w:rPr>
          <w:rFonts w:hint="eastAsia" w:cs="宋体"/>
          <w:color w:val="auto"/>
          <w:highlight w:val="none"/>
          <w:u w:val="single"/>
          <w:shd w:val="clear" w:color="auto" w:fill="ffffff"/>
          <w:lang w:val="en-US" w:eastAsia="zh-CN"/>
        </w:rPr>
        <w:t xml:space="preserve">16</w:t>
      </w:r>
      <w:r>
        <w:rPr>
          <w:rFonts w:hint="eastAsia" w:ascii="宋体" w:hAnsi="宋体" w:eastAsia="宋体" w:cs="宋体"/>
          <w:color w:val="auto"/>
          <w:highlight w:val="none"/>
          <w:u w:val="single"/>
          <w:shd w:val="clear" w:color="auto" w:fill="ffffff"/>
        </w:rPr>
        <w:t xml:space="preserve">日</w:t>
      </w:r>
      <w:r>
        <w:rPr>
          <w:rFonts w:hint="eastAsia" w:cs="宋体"/>
          <w:color w:val="auto"/>
          <w:highlight w:val="none"/>
          <w:u w:val="single"/>
          <w:shd w:val="clear" w:color="auto" w:fill="ffffff"/>
          <w:lang w:val="en-US" w:eastAsia="zh-CN"/>
        </w:rPr>
        <w:t xml:space="preserve">9</w:t>
      </w:r>
      <w:r>
        <w:rPr>
          <w:rFonts w:hint="eastAsia" w:ascii="宋体" w:hAnsi="宋体" w:eastAsia="宋体" w:cs="宋体"/>
          <w:color w:val="auto"/>
          <w:highlight w:val="none"/>
          <w:u w:val="single"/>
          <w:shd w:val="clear" w:color="auto" w:fill="ffffff"/>
        </w:rPr>
        <w:t xml:space="preserve">点00分</w:t>
      </w:r>
      <w:r>
        <w:rPr>
          <w:rFonts w:hint="eastAsia" w:ascii="宋体" w:hAnsi="宋体" w:eastAsia="宋体" w:cs="宋体"/>
          <w:color w:val="auto"/>
          <w:highlight w:val="none"/>
          <w:shd w:val="clear" w:color="auto" w:fill="ffffff"/>
        </w:rPr>
        <w:t xml:space="preserve">（北京时间）。</w:t>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2.地点：“苏采云”政府采购交易系统网上开标大厅 。</w:t>
      </w:r>
      <w:r/>
    </w:p>
    <w:p>
      <w:pPr>
        <w:ind w:firstLine="531"/>
        <w:spacing w:line="360" w:lineRule="auto"/>
        <w:rPr>
          <w:rFonts w:hint="eastAsia" w:ascii="宋体" w:hAnsi="宋体" w:cs="宋体"/>
          <w:b/>
          <w:color w:val="auto"/>
          <w:spacing w:val="15"/>
          <w:sz w:val="24"/>
          <w:szCs w:val="24"/>
          <w:highlight w:val="none"/>
        </w:rPr>
      </w:pPr>
      <w:r>
        <w:rPr>
          <w:rFonts w:hint="eastAsia" w:ascii="宋体" w:hAnsi="宋体" w:cs="宋体"/>
          <w:b/>
          <w:color w:val="auto"/>
          <w:spacing w:val="15"/>
          <w:sz w:val="24"/>
          <w:szCs w:val="24"/>
          <w:highlight w:val="none"/>
        </w:rPr>
        <w:t xml:space="preserve">五、开启</w:t>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1.时间：</w:t>
      </w:r>
      <w:r>
        <w:rPr>
          <w:rFonts w:hint="eastAsia" w:ascii="宋体" w:hAnsi="宋体" w:eastAsia="宋体" w:cs="宋体"/>
          <w:color w:val="auto"/>
          <w:highlight w:val="none"/>
          <w:u w:val="single"/>
          <w:shd w:val="clear" w:color="auto" w:fill="ffffff"/>
        </w:rPr>
        <w:t xml:space="preserve">2025年</w:t>
      </w:r>
      <w:r>
        <w:rPr>
          <w:rFonts w:hint="eastAsia" w:cs="宋体"/>
          <w:color w:val="auto"/>
          <w:highlight w:val="none"/>
          <w:u w:val="single"/>
          <w:shd w:val="clear" w:color="auto" w:fill="ffffff"/>
          <w:lang w:val="en-US" w:eastAsia="zh-CN"/>
        </w:rPr>
        <w:t xml:space="preserve">12</w:t>
      </w:r>
      <w:r>
        <w:rPr>
          <w:rFonts w:hint="eastAsia" w:ascii="宋体" w:hAnsi="宋体" w:eastAsia="宋体" w:cs="宋体"/>
          <w:color w:val="auto"/>
          <w:highlight w:val="none"/>
          <w:u w:val="single"/>
          <w:shd w:val="clear" w:color="auto" w:fill="ffffff"/>
        </w:rPr>
        <w:t xml:space="preserve">月</w:t>
      </w:r>
      <w:r>
        <w:rPr>
          <w:rFonts w:hint="eastAsia" w:cs="宋体"/>
          <w:color w:val="auto"/>
          <w:highlight w:val="none"/>
          <w:u w:val="single"/>
          <w:shd w:val="clear" w:color="auto" w:fill="ffffff"/>
          <w:lang w:val="en-US" w:eastAsia="zh-CN"/>
        </w:rPr>
        <w:t xml:space="preserve">16</w:t>
      </w:r>
      <w:r>
        <w:rPr>
          <w:rFonts w:hint="eastAsia" w:ascii="宋体" w:hAnsi="宋体" w:eastAsia="宋体" w:cs="宋体"/>
          <w:color w:val="auto"/>
          <w:highlight w:val="none"/>
          <w:u w:val="single"/>
          <w:shd w:val="clear" w:color="auto" w:fill="ffffff"/>
        </w:rPr>
        <w:t xml:space="preserve">日</w:t>
      </w:r>
      <w:r>
        <w:rPr>
          <w:rFonts w:hint="eastAsia" w:cs="宋体"/>
          <w:color w:val="auto"/>
          <w:highlight w:val="none"/>
          <w:u w:val="single"/>
          <w:shd w:val="clear" w:color="auto" w:fill="ffffff"/>
          <w:lang w:val="en-US" w:eastAsia="zh-CN"/>
        </w:rPr>
        <w:t xml:space="preserve">9</w:t>
      </w:r>
      <w:r>
        <w:rPr>
          <w:rFonts w:hint="eastAsia" w:ascii="宋体" w:hAnsi="宋体" w:eastAsia="宋体" w:cs="宋体"/>
          <w:color w:val="auto"/>
          <w:highlight w:val="none"/>
          <w:u w:val="single"/>
          <w:shd w:val="clear" w:color="auto" w:fill="ffffff"/>
        </w:rPr>
        <w:t xml:space="preserve">点00分</w:t>
      </w:r>
      <w:r>
        <w:rPr>
          <w:rFonts w:hint="eastAsia" w:ascii="宋体" w:hAnsi="宋体" w:eastAsia="宋体" w:cs="宋体"/>
          <w:color w:val="auto"/>
          <w:highlight w:val="none"/>
          <w:shd w:val="clear" w:color="auto" w:fill="ffffff"/>
        </w:rPr>
        <w:t xml:space="preserve">（北京时间）。</w:t>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2.地点：“苏采云”政府采购交易系统网上开标大厅。</w:t>
      </w:r>
      <w:r/>
    </w:p>
    <w:p>
      <w:pPr>
        <w:ind w:firstLine="531"/>
        <w:spacing w:line="360" w:lineRule="auto"/>
        <w:rPr>
          <w:rFonts w:hint="eastAsia" w:ascii="宋体" w:hAnsi="宋体" w:cs="宋体"/>
          <w:b/>
          <w:color w:val="auto"/>
          <w:spacing w:val="15"/>
          <w:sz w:val="24"/>
          <w:szCs w:val="24"/>
          <w:highlight w:val="none"/>
        </w:rPr>
      </w:pPr>
      <w:r>
        <w:rPr>
          <w:rFonts w:hint="eastAsia" w:ascii="宋体" w:hAnsi="宋体" w:cs="宋体"/>
          <w:b/>
          <w:color w:val="auto"/>
          <w:spacing w:val="15"/>
          <w:sz w:val="24"/>
          <w:szCs w:val="24"/>
          <w:highlight w:val="none"/>
        </w:rPr>
        <w:t xml:space="preserve">六、公告期限</w:t>
      </w:r>
      <w:r/>
    </w:p>
    <w:p>
      <w:pPr>
        <w:pStyle w:val="987"/>
        <w:ind w:firstLine="480"/>
        <w:spacing w:before="0" w:beforeAutospacing="0" w:after="0" w:afterAutospacing="0" w:line="360" w:lineRule="auto"/>
        <w:rPr>
          <w:rFonts w:hint="eastAsia"/>
          <w:color w:val="auto"/>
          <w:highlight w:val="none"/>
          <w:shd w:val="clear" w:color="auto" w:fill="ffffff"/>
        </w:rPr>
      </w:pPr>
      <w:r>
        <w:rPr>
          <w:rFonts w:hint="eastAsia"/>
          <w:color w:val="auto"/>
          <w:highlight w:val="none"/>
          <w:shd w:val="clear" w:color="auto" w:fill="ffffff"/>
        </w:rPr>
        <w:t xml:space="preserve">自本公告发布之日起</w:t>
      </w:r>
      <w:r>
        <w:rPr>
          <w:rFonts w:hint="eastAsia"/>
          <w:color w:val="auto"/>
          <w:highlight w:val="none"/>
          <w:shd w:val="clear" w:color="auto" w:fill="ffffff"/>
          <w:lang w:val="en-US" w:eastAsia="zh-CN"/>
        </w:rPr>
        <w:t xml:space="preserve">3</w:t>
      </w:r>
      <w:r>
        <w:rPr>
          <w:rFonts w:hint="eastAsia"/>
          <w:color w:val="auto"/>
          <w:highlight w:val="none"/>
          <w:shd w:val="clear" w:color="auto" w:fill="ffffff"/>
        </w:rPr>
        <w:t xml:space="preserve">个工作日。</w:t>
      </w:r>
      <w:r/>
    </w:p>
    <w:p>
      <w:pPr>
        <w:ind w:firstLine="531"/>
        <w:spacing w:line="360" w:lineRule="auto"/>
        <w:rPr>
          <w:rFonts w:hint="eastAsia" w:ascii="宋体" w:hAnsi="宋体" w:cs="宋体"/>
          <w:b/>
          <w:color w:val="auto"/>
          <w:spacing w:val="15"/>
          <w:sz w:val="24"/>
          <w:szCs w:val="24"/>
          <w:highlight w:val="none"/>
        </w:rPr>
      </w:pPr>
      <w:r>
        <w:rPr>
          <w:rFonts w:hint="eastAsia" w:ascii="宋体" w:hAnsi="宋体" w:cs="宋体"/>
          <w:b/>
          <w:color w:val="auto"/>
          <w:spacing w:val="15"/>
          <w:sz w:val="24"/>
          <w:szCs w:val="24"/>
          <w:highlight w:val="none"/>
        </w:rPr>
        <w:t xml:space="preserve">七、其他补充事宜</w:t>
      </w:r>
      <w:bookmarkEnd w:id="17"/>
      <w:r/>
      <w:bookmarkEnd w:id="18"/>
      <w:r/>
      <w:bookmarkEnd w:id="19"/>
      <w:r/>
      <w:bookmarkEnd w:id="20"/>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bookmarkStart w:id="21" w:name="OLE_LINK17"/>
      <w:r/>
      <w:bookmarkStart w:id="22" w:name="_Toc35393796"/>
      <w:r/>
      <w:bookmarkStart w:id="23" w:name="_Toc28359008"/>
      <w:r/>
      <w:bookmarkStart w:id="24" w:name="_Toc35393627"/>
      <w:r/>
      <w:bookmarkStart w:id="25" w:name="_Toc28359085"/>
      <w:r>
        <w:rPr>
          <w:rFonts w:hint="eastAsia" w:ascii="宋体" w:hAnsi="宋体" w:eastAsia="宋体" w:cs="宋体"/>
          <w:color w:val="auto"/>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2.潜在供应商访问电子招标响应交易平台的网络地址和方法： </w:t>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2.2潜在投标人访问“苏采云”系统方法：江苏省政府采购网首页-“苏采云”链接。 </w:t>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2.3磋商文件（后缀名为“.kedt”）、供应商操作手册及政府采购客户端 工具可通过“苏采云”系统相应链接进行下载。 </w:t>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2.4采购代理机构将数据电文形式的磋商文件加载至“苏采云”系统，供潜在供应商下载或者查阅。 </w:t>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2.5请潜在投标单位提前安装相应的控件（详见《“苏采云”系统供应商操作手册》）并使用谷歌浏览器登录“苏采云”系统参与不见面开评标。 </w:t>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如潜在投标人未按上述要求操作，将自行承担所产生的风险。</w:t>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3.有关本次磋商的事项若存在变动或修改，敬请及时关注采购人在“中国政府采购网”“江苏政府采购网”“盐城市政府采购网”发布的更正公告。</w:t>
      </w:r>
      <w:r/>
    </w:p>
    <w:p>
      <w:pPr>
        <w:pStyle w:val="987"/>
        <w:ind w:firstLine="480"/>
        <w:spacing w:before="0" w:beforeAutospacing="0" w:after="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4.本次磋商不收取磋商保证金，不收取质量保证金。</w:t>
      </w:r>
      <w:bookmarkEnd w:id="21"/>
      <w:r/>
      <w:r/>
    </w:p>
    <w:p>
      <w:pPr>
        <w:ind w:firstLine="531"/>
        <w:spacing w:line="360" w:lineRule="auto"/>
        <w:rPr>
          <w:rFonts w:hint="eastAsia" w:ascii="宋体" w:hAnsi="宋体" w:cs="宋体"/>
          <w:b/>
          <w:color w:val="auto"/>
          <w:spacing w:val="15"/>
          <w:sz w:val="24"/>
          <w:szCs w:val="24"/>
          <w:highlight w:val="none"/>
        </w:rPr>
      </w:pPr>
      <w:r>
        <w:rPr>
          <w:rFonts w:hint="eastAsia" w:ascii="宋体" w:hAnsi="宋体" w:cs="宋体"/>
          <w:b/>
          <w:color w:val="auto"/>
          <w:spacing w:val="15"/>
          <w:sz w:val="24"/>
          <w:szCs w:val="24"/>
          <w:highlight w:val="none"/>
        </w:rPr>
        <w:t xml:space="preserve">八、对本次招标提出询问，请按以下方式联系</w:t>
      </w:r>
      <w:bookmarkEnd w:id="22"/>
      <w:r/>
      <w:bookmarkEnd w:id="23"/>
      <w:r/>
      <w:bookmarkEnd w:id="24"/>
      <w:r/>
      <w:bookmarkEnd w:id="25"/>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称：盐城市生态环境局</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 陈女士</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联系电话：0515-81610846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bookmarkStart w:id="26" w:name="_Toc28359009"/>
      <w:r/>
      <w:bookmarkStart w:id="27" w:name="_Toc28359086"/>
      <w:r/>
      <w:r/>
    </w:p>
    <w:p>
      <w:pPr>
        <w:numPr>
          <w:ilvl w:val="0"/>
          <w:numId w:val="2"/>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采购代理机构信息</w:t>
      </w:r>
      <w:bookmarkEnd w:id="26"/>
      <w:r/>
      <w:bookmarkEnd w:id="27"/>
      <w:r/>
      <w:r/>
    </w:p>
    <w:p>
      <w:pPr>
        <w:ind w:firstLine="480"/>
        <w:spacing w:line="360" w:lineRule="auto"/>
        <w:rPr>
          <w:rFonts w:hint="eastAsia" w:ascii="宋体" w:hAnsi="宋体" w:eastAsia="宋体" w:cs="宋体"/>
          <w:color w:val="auto"/>
          <w:sz w:val="24"/>
          <w:szCs w:val="24"/>
          <w:highlight w:val="none"/>
        </w:rPr>
      </w:pPr>
      <w:r/>
      <w:bookmarkStart w:id="28" w:name="_Toc28359010"/>
      <w:r/>
      <w:bookmarkStart w:id="29" w:name="_Toc28359087"/>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盐城市捷之诚工程项目管理有限公司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址：盐城市青年东路19号绿阳汇城市广场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联系方式：施女士，18012593081</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bookmarkEnd w:id="28"/>
      <w:r/>
      <w:bookmarkEnd w:id="29"/>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施女士</w:t>
      </w:r>
      <w:r>
        <w:rPr>
          <w:rFonts w:hint="eastAsia" w:ascii="宋体" w:hAnsi="宋体" w:cs="宋体"/>
          <w:color w:val="auto"/>
          <w:sz w:val="24"/>
          <w:szCs w:val="24"/>
          <w:highlight w:val="none"/>
          <w:lang w:val="en-US" w:eastAsia="zh-CN"/>
        </w:rPr>
        <w:t xml:space="preserve">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18012593081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p>
    <w:p>
      <w:pPr>
        <w:jc w:val="center"/>
        <w:spacing w:before="203" w:after="203" w:line="192" w:lineRule="auto"/>
        <w:rPr>
          <w:rFonts w:hint="eastAsia" w:ascii="黑体" w:hAnsi="Arial" w:eastAsia="黑体"/>
          <w:color w:val="auto"/>
          <w:sz w:val="44"/>
          <w:szCs w:val="44"/>
          <w:highlight w:val="none"/>
        </w:rPr>
        <w:sectPr>
          <w:footerReference w:type="default" r:id="rId10"/>
          <w:footnotePr/>
          <w:endnotePr/>
          <w:type w:val="nextPage"/>
          <w:pgSz w:w="11907" w:h="16840" w:orient="portrait"/>
          <w:pgMar w:top="607" w:right="851" w:bottom="811" w:left="1134" w:header="624" w:footer="992" w:gutter="0"/>
          <w:pgNumType w:start="1"/>
          <w:cols w:num="1" w:sep="0" w:space="1701" w:equalWidth="1"/>
          <w:docGrid w:linePitch="360"/>
        </w:sectPr>
      </w:pPr>
      <w:r>
        <w:rPr>
          <w:rFonts w:hint="eastAsia" w:ascii="黑体" w:hAnsi="Arial" w:eastAsia="黑体"/>
          <w:color w:val="auto"/>
          <w:sz w:val="44"/>
          <w:szCs w:val="44"/>
          <w:highlight w:val="none"/>
        </w:rPr>
      </w:r>
      <w:r/>
    </w:p>
    <w:p>
      <w:pPr>
        <w:jc w:val="center"/>
        <w:spacing w:before="208" w:after="208" w:line="192" w:lineRule="auto"/>
        <w:rPr>
          <w:rFonts w:ascii="黑体" w:hAnsi="Arial" w:eastAsia="黑体"/>
          <w:color w:val="auto"/>
          <w:sz w:val="44"/>
          <w:szCs w:val="44"/>
          <w:highlight w:val="none"/>
        </w:rPr>
      </w:pPr>
      <w:r>
        <w:rPr>
          <w:rFonts w:hint="eastAsia" w:ascii="黑体" w:hAnsi="Arial" w:eastAsia="黑体"/>
          <w:color w:val="auto"/>
          <w:sz w:val="44"/>
          <w:szCs w:val="44"/>
          <w:highlight w:val="none"/>
        </w:rPr>
        <w:t xml:space="preserve">第二章</w:t>
      </w:r>
      <w:r>
        <w:rPr>
          <w:rFonts w:ascii="黑体" w:hAnsi="Arial" w:eastAsia="黑体"/>
          <w:color w:val="auto"/>
          <w:sz w:val="44"/>
          <w:szCs w:val="44"/>
          <w:highlight w:val="none"/>
        </w:rPr>
        <w:t xml:space="preserve">  </w:t>
      </w:r>
      <w:r>
        <w:rPr>
          <w:rFonts w:hint="eastAsia" w:ascii="黑体" w:hAnsi="Arial" w:eastAsia="黑体"/>
          <w:color w:val="auto"/>
          <w:sz w:val="44"/>
          <w:szCs w:val="44"/>
          <w:highlight w:val="none"/>
        </w:rPr>
        <w:t xml:space="preserve">磋商须知</w:t>
      </w:r>
      <w:r/>
    </w:p>
    <w:p>
      <w:pPr>
        <w:jc w:val="center"/>
        <w:spacing w:line="360" w:lineRule="auto"/>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（参加竞争性磋商的供应商以下简称“磋商供应商”）</w:t>
      </w:r>
      <w:r/>
    </w:p>
    <w:p>
      <w:pPr>
        <w:ind w:firstLine="482"/>
        <w:keepLines w:val="0"/>
        <w:keepNext w:val="0"/>
        <w:pageBreakBefore w:val="0"/>
        <w:spacing w:before="210" w:line="360" w:lineRule="auto"/>
        <w:widowControl w:val="off"/>
        <w:tabs>
          <w:tab w:val="left" w:pos="9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一、总则</w:t>
      </w:r>
      <w:r/>
    </w:p>
    <w:p>
      <w:pPr>
        <w:ind w:firstLine="482"/>
        <w:keepLines w:val="0"/>
        <w:keepNext w:val="0"/>
        <w:pageBreakBefore w:val="0"/>
        <w:spacing w:line="560" w:lineRule="exact"/>
        <w:widowControl w:val="off"/>
        <w:rPr>
          <w:rFonts w:hint="eastAsia" w:ascii="宋体" w:hAnsi="宋体" w:eastAsia="宋体" w:cs="宋体"/>
          <w:b/>
          <w:bCs/>
          <w:color w:val="auto"/>
          <w:sz w:val="24"/>
          <w:szCs w:val="24"/>
          <w:highlight w:val="none"/>
        </w:rPr>
      </w:pPr>
      <w:r/>
      <w:bookmarkStart w:id="30" w:name="_Hlt26670354"/>
      <w:r/>
      <w:bookmarkEnd w:id="30"/>
      <w:r/>
      <w:bookmarkStart w:id="31" w:name="_Hlt26954832"/>
      <w:r/>
      <w:bookmarkEnd w:id="31"/>
      <w:r/>
      <w:bookmarkStart w:id="32" w:name="_Hlt26954830"/>
      <w:r/>
      <w:bookmarkEnd w:id="32"/>
      <w:r/>
      <w:bookmarkStart w:id="33" w:name="_Hlt26670348"/>
      <w:r/>
      <w:bookmarkEnd w:id="33"/>
      <w:r/>
      <w:bookmarkStart w:id="34" w:name="_Hlt26670345"/>
      <w:r/>
      <w:bookmarkEnd w:id="34"/>
      <w:r/>
      <w:bookmarkStart w:id="35" w:name="_Hlt26954828"/>
      <w:r/>
      <w:bookmarkEnd w:id="35"/>
      <w:r/>
      <w:bookmarkStart w:id="36" w:name="_Hlt26668969"/>
      <w:r/>
      <w:bookmarkEnd w:id="36"/>
      <w:r/>
      <w:bookmarkStart w:id="37" w:name="_Toc20823276"/>
      <w:r/>
      <w:bookmarkStart w:id="38" w:name="_Toc513029204"/>
      <w:r/>
      <w:bookmarkStart w:id="39" w:name="_Toc16938520"/>
      <w:r/>
      <w:bookmarkStart w:id="40" w:name="_Toc458694821"/>
      <w:r/>
      <w:bookmarkStart w:id="41" w:name="_Toc61149553"/>
      <w:r/>
      <w:bookmarkStart w:id="42" w:name="_Toc462564072"/>
      <w:r/>
      <w:bookmarkStart w:id="43" w:name="_Toc14577351"/>
      <w:r/>
      <w:bookmarkStart w:id="44" w:name="_Toc513029213"/>
      <w:r>
        <w:rPr>
          <w:rFonts w:hint="eastAsia" w:ascii="宋体" w:hAnsi="宋体" w:eastAsia="宋体" w:cs="宋体"/>
          <w:b/>
          <w:bCs/>
          <w:color w:val="auto"/>
          <w:sz w:val="24"/>
          <w:szCs w:val="24"/>
          <w:highlight w:val="none"/>
        </w:rPr>
        <w:t xml:space="preserve">1</w:t>
      </w:r>
      <w:bookmarkEnd w:id="37"/>
      <w:r>
        <w:rPr>
          <w:rFonts w:hint="eastAsia" w:ascii="宋体" w:hAnsi="宋体" w:eastAsia="宋体" w:cs="宋体"/>
          <w:b/>
          <w:bCs/>
          <w:color w:val="auto"/>
          <w:sz w:val="24"/>
          <w:szCs w:val="24"/>
          <w:highlight w:val="none"/>
        </w:rPr>
        <w:t xml:space="preserve">、采购方式</w:t>
      </w:r>
      <w:bookmarkEnd w:id="38"/>
      <w:r/>
      <w:bookmarkEnd w:id="39"/>
      <w:r/>
      <w:bookmarkEnd w:id="40"/>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ind w:firstLine="482"/>
        <w:keepLines w:val="0"/>
        <w:keepNext w:val="0"/>
        <w:pageBreakBefore w:val="0"/>
        <w:spacing w:line="560" w:lineRule="exact"/>
        <w:widowControl w:val="off"/>
        <w:rPr>
          <w:rFonts w:hint="eastAsia" w:ascii="宋体" w:hAnsi="宋体" w:eastAsia="宋体" w:cs="宋体"/>
          <w:b/>
          <w:bCs/>
          <w:color w:val="auto"/>
          <w:sz w:val="24"/>
          <w:szCs w:val="24"/>
          <w:highlight w:val="none"/>
        </w:rPr>
      </w:pPr>
      <w:r/>
      <w:bookmarkStart w:id="45" w:name="_Toc513029205"/>
      <w:r/>
      <w:bookmarkStart w:id="46" w:name="_Toc20823277"/>
      <w:r/>
      <w:bookmarkStart w:id="47" w:name="_Toc16938521"/>
      <w:r>
        <w:rPr>
          <w:rFonts w:hint="eastAsia" w:ascii="宋体" w:hAnsi="宋体" w:eastAsia="宋体" w:cs="宋体"/>
          <w:b/>
          <w:bCs/>
          <w:color w:val="auto"/>
          <w:sz w:val="24"/>
          <w:szCs w:val="24"/>
          <w:highlight w:val="none"/>
        </w:rPr>
        <w:t xml:space="preserve">2、合格的</w:t>
      </w:r>
      <w:bookmarkEnd w:id="45"/>
      <w:r/>
      <w:bookmarkEnd w:id="46"/>
      <w:r/>
      <w:bookmarkEnd w:id="47"/>
      <w:r>
        <w:rPr>
          <w:rFonts w:hint="eastAsia" w:ascii="宋体" w:hAnsi="宋体" w:eastAsia="宋体" w:cs="宋体"/>
          <w:b/>
          <w:bCs/>
          <w:color w:val="auto"/>
          <w:sz w:val="24"/>
          <w:szCs w:val="24"/>
          <w:highlight w:val="none"/>
        </w:rPr>
        <w:t xml:space="preserve">供应商</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482"/>
        <w:keepLines w:val="0"/>
        <w:keepNext w:val="0"/>
        <w:pageBreakBefore w:val="0"/>
        <w:spacing w:line="560" w:lineRule="exact"/>
        <w:widowControl w:val="off"/>
        <w:rPr>
          <w:rFonts w:hint="eastAsia" w:ascii="宋体" w:hAnsi="宋体" w:eastAsia="宋体" w:cs="宋体"/>
          <w:b/>
          <w:bCs/>
          <w:color w:val="auto"/>
          <w:sz w:val="24"/>
          <w:szCs w:val="24"/>
          <w:highlight w:val="none"/>
        </w:rPr>
      </w:pPr>
      <w:r/>
      <w:bookmarkStart w:id="48" w:name="_Toc20823278"/>
      <w:r/>
      <w:bookmarkStart w:id="49" w:name="_Toc513029206"/>
      <w:r/>
      <w:bookmarkStart w:id="50" w:name="_Toc16938522"/>
      <w:r>
        <w:rPr>
          <w:rFonts w:hint="eastAsia" w:ascii="宋体" w:hAnsi="宋体" w:eastAsia="宋体" w:cs="宋体"/>
          <w:b/>
          <w:bCs/>
          <w:color w:val="auto"/>
          <w:sz w:val="24"/>
          <w:szCs w:val="24"/>
          <w:highlight w:val="none"/>
        </w:rPr>
        <w:t xml:space="preserve">3、适用法律</w:t>
      </w:r>
      <w:bookmarkEnd w:id="48"/>
      <w:r/>
      <w:bookmarkEnd w:id="49"/>
      <w:r/>
      <w:bookmarkEnd w:id="50"/>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ind w:firstLine="482"/>
        <w:keepLines w:val="0"/>
        <w:keepNext w:val="0"/>
        <w:pageBreakBefore w:val="0"/>
        <w:spacing w:line="560" w:lineRule="exact"/>
        <w:widowControl w:val="off"/>
        <w:rPr>
          <w:rFonts w:hint="eastAsia" w:ascii="宋体" w:hAnsi="宋体" w:eastAsia="宋体" w:cs="宋体"/>
          <w:b/>
          <w:bCs/>
          <w:color w:val="auto"/>
          <w:sz w:val="24"/>
          <w:szCs w:val="24"/>
          <w:highlight w:val="none"/>
        </w:rPr>
      </w:pPr>
      <w:r/>
      <w:bookmarkStart w:id="51" w:name="_Toc462564067"/>
      <w:r/>
      <w:bookmarkStart w:id="52" w:name="_Toc513029207"/>
      <w:r/>
      <w:bookmarkStart w:id="53" w:name="_Toc20823279"/>
      <w:r/>
      <w:bookmarkStart w:id="54" w:name="_Toc16938523"/>
      <w:r>
        <w:rPr>
          <w:rFonts w:hint="eastAsia" w:ascii="宋体" w:hAnsi="宋体" w:eastAsia="宋体" w:cs="宋体"/>
          <w:b/>
          <w:bCs/>
          <w:color w:val="auto"/>
          <w:sz w:val="24"/>
          <w:szCs w:val="24"/>
          <w:highlight w:val="none"/>
        </w:rPr>
        <w:t xml:space="preserve">4、磋商费用</w:t>
      </w:r>
      <w:bookmarkEnd w:id="51"/>
      <w:r/>
      <w:bookmarkEnd w:id="52"/>
      <w:r/>
      <w:bookmarkEnd w:id="53"/>
      <w:r/>
      <w:bookmarkEnd w:id="54"/>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4.1供应商应自行承担所有与参加本次磋商有关的费用，无论磋商过程中的做法和结果如何，盐城市生态环境局（以下简称采购人）采购人和</w:t>
      </w:r>
      <w:r>
        <w:rPr>
          <w:rFonts w:hint="eastAsia" w:ascii="宋体" w:hAnsi="宋体" w:cs="宋体"/>
          <w:color w:val="auto"/>
          <w:sz w:val="24"/>
          <w:szCs w:val="24"/>
          <w:highlight w:val="none"/>
          <w:lang w:eastAsia="zh-CN"/>
        </w:rPr>
        <w:t xml:space="preserve">盐城市捷之诚工程项目管理有限公司</w:t>
      </w:r>
      <w:r>
        <w:rPr>
          <w:rFonts w:hint="eastAsia" w:ascii="宋体" w:hAnsi="宋体" w:eastAsia="宋体" w:cs="宋体"/>
          <w:color w:val="auto"/>
          <w:sz w:val="24"/>
          <w:szCs w:val="24"/>
          <w:highlight w:val="none"/>
        </w:rPr>
        <w:t xml:space="preserve">（以下简称采购代理机构）在任何情况下均无义务和责任承担这些费用。</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4.2本次磋商采购代理机构和采购人不收取标书工本费。</w:t>
      </w:r>
      <w:r/>
    </w:p>
    <w:p>
      <w:pPr>
        <w:ind w:firstLine="480"/>
        <w:keepLines w:val="0"/>
        <w:keepNext w:val="0"/>
        <w:pageBreakBefore w:val="0"/>
        <w:spacing w:line="559" w:lineRule="exact"/>
        <w:widowControl w:val="off"/>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4.3本次采购代理费按苏招协〔2022〕002号文</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100%</w:t>
      </w:r>
      <w:r>
        <w:rPr>
          <w:rFonts w:hint="eastAsia" w:ascii="宋体" w:hAnsi="宋体" w:cs="宋体"/>
          <w:sz w:val="24"/>
          <w:highlight w:val="none"/>
        </w:rPr>
        <w:t xml:space="preserve">向采购代理机构一次性支付采购代理服务费用。该费用</w:t>
      </w:r>
      <w:r>
        <w:rPr>
          <w:rFonts w:hint="eastAsia" w:ascii="宋体" w:hAnsi="宋体" w:cs="宋体"/>
          <w:color w:val="000000" w:themeColor="text1"/>
          <w:sz w:val="24"/>
          <w:highlight w:val="none"/>
          <w14:textFill>
            <w14:solidFill>
              <w14:schemeClr w14:val="tx1"/>
            </w14:solidFill>
          </w14:textFill>
        </w:rPr>
        <w:t xml:space="preserve">折算在报价中，不得在响应文件</w:t>
      </w:r>
      <w:r>
        <w:rPr>
          <w:rFonts w:hint="eastAsia" w:ascii="宋体" w:hAnsi="宋体" w:cs="宋体"/>
          <w:bCs/>
          <w:color w:val="000000" w:themeColor="text1"/>
          <w:sz w:val="24"/>
          <w:highlight w:val="none"/>
          <w14:textFill>
            <w14:solidFill>
              <w14:schemeClr w14:val="tx1"/>
            </w14:solidFill>
          </w14:textFill>
        </w:rPr>
        <w:t xml:space="preserve">中单独列出</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5、磋商文件的约束力</w:t>
      </w:r>
      <w:r/>
    </w:p>
    <w:p>
      <w:pPr>
        <w:ind w:firstLine="480"/>
        <w:keepLines w:val="0"/>
        <w:keepNext w:val="0"/>
        <w:pageBreakBefore w:val="0"/>
        <w:spacing w:line="56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2"/>
        <w:keepLines w:val="0"/>
        <w:keepNext w:val="0"/>
        <w:pageBreakBefore w:val="0"/>
        <w:spacing w:before="210" w:line="360" w:lineRule="auto"/>
        <w:widowControl w:val="off"/>
        <w:tabs>
          <w:tab w:val="left" w:pos="9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二、磋商文件</w:t>
      </w:r>
      <w:bookmarkEnd w:id="41"/>
      <w:r/>
      <w:bookmarkEnd w:id="42"/>
      <w:r/>
      <w:bookmarkEnd w:id="43"/>
      <w:r/>
      <w:bookmarkEnd w:id="44"/>
      <w:r/>
      <w:r/>
    </w:p>
    <w:p>
      <w:pPr>
        <w:pStyle w:val="987"/>
        <w:ind w:firstLine="482"/>
        <w:jc w:val="both"/>
        <w:keepLines w:val="0"/>
        <w:keepNext w:val="0"/>
        <w:pageBreakBefore w:val="0"/>
        <w:spacing w:before="0" w:beforeAutospacing="0" w:after="0" w:afterAutospacing="0" w:line="560" w:lineRule="exact"/>
        <w:widowControl/>
        <w:rPr>
          <w:rFonts w:hint="eastAsia" w:ascii="宋体" w:hAnsi="宋体" w:eastAsia="宋体" w:cs="宋体"/>
          <w:b/>
          <w:bCs/>
          <w:color w:val="auto"/>
          <w:sz w:val="24"/>
          <w:szCs w:val="24"/>
          <w:highlight w:val="none"/>
        </w:rPr>
      </w:pPr>
      <w:r/>
      <w:bookmarkStart w:id="55" w:name="_Hlt26954852"/>
      <w:r/>
      <w:bookmarkEnd w:id="55"/>
      <w:r/>
      <w:bookmarkStart w:id="56" w:name="_Hlt26954734"/>
      <w:r/>
      <w:bookmarkEnd w:id="56"/>
      <w:r/>
      <w:bookmarkStart w:id="57" w:name="_Hlt26670493"/>
      <w:r/>
      <w:bookmarkEnd w:id="57"/>
      <w:r/>
      <w:bookmarkStart w:id="58" w:name="_Hlt26954850"/>
      <w:r/>
      <w:bookmarkEnd w:id="58"/>
      <w:r/>
      <w:bookmarkStart w:id="59" w:name="_Hlt26670489"/>
      <w:r/>
      <w:bookmarkEnd w:id="59"/>
      <w:r/>
      <w:bookmarkStart w:id="60" w:name="_Hlt26954854"/>
      <w:r/>
      <w:bookmarkEnd w:id="60"/>
      <w:r/>
      <w:bookmarkStart w:id="61" w:name="_Hlt26954739"/>
      <w:r/>
      <w:bookmarkEnd w:id="61"/>
      <w:r/>
      <w:bookmarkStart w:id="62" w:name="_Hlt26954749"/>
      <w:r/>
      <w:bookmarkEnd w:id="62"/>
      <w:r/>
      <w:bookmarkStart w:id="63" w:name="_Toc16938526"/>
      <w:r/>
      <w:bookmarkStart w:id="64" w:name="_Toc20823282"/>
      <w:r/>
      <w:bookmarkStart w:id="65" w:name="_Toc513029210"/>
      <w:r/>
      <w:bookmarkStart w:id="66" w:name="_Toc61149562"/>
      <w:r/>
      <w:bookmarkStart w:id="67" w:name="_Toc513029224"/>
      <w:r/>
      <w:bookmarkStart w:id="68" w:name="_Toc14577362"/>
      <w:r>
        <w:rPr>
          <w:rFonts w:hint="eastAsia" w:ascii="宋体" w:hAnsi="宋体" w:eastAsia="宋体" w:cs="宋体"/>
          <w:b/>
          <w:bCs/>
          <w:color w:val="auto"/>
          <w:sz w:val="24"/>
          <w:szCs w:val="24"/>
          <w:highlight w:val="none"/>
          <w:lang w:val="en-US" w:eastAsia="zh-CN" w:bidi="ar-SA"/>
        </w:rPr>
        <w:t xml:space="preserve">6、磋商文件构成</w:t>
      </w:r>
      <w:bookmarkEnd w:id="63"/>
      <w:r/>
      <w:bookmarkEnd w:id="64"/>
      <w:r/>
      <w:bookmarkEnd w:id="65"/>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6.1磋商文件由以下部分组成：</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（1）磋商公告</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（2）磋商须知</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（3）合同条款及格式</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（4）项目需求</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（5）评审方法与评审标准</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（6）响应文件格式</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请仔细检查磋商文件是否齐全，如有缺漏请立即与采购代理机构联系解决。</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87"/>
        <w:ind w:firstLine="482"/>
        <w:jc w:val="both"/>
        <w:keepLines w:val="0"/>
        <w:keepNext w:val="0"/>
        <w:pageBreakBefore w:val="0"/>
        <w:spacing w:before="0" w:beforeAutospacing="0" w:after="0" w:afterAutospacing="0" w:line="560" w:lineRule="exact"/>
        <w:widowControl/>
        <w:rPr>
          <w:rFonts w:hint="eastAsia" w:ascii="宋体" w:hAnsi="宋体" w:eastAsia="宋体" w:cs="宋体"/>
          <w:b/>
          <w:bCs/>
          <w:color w:val="auto"/>
          <w:sz w:val="24"/>
          <w:szCs w:val="24"/>
          <w:highlight w:val="none"/>
        </w:rPr>
      </w:pPr>
      <w:r/>
      <w:bookmarkStart w:id="69" w:name="_Toc513029211"/>
      <w:r/>
      <w:bookmarkStart w:id="70" w:name="_Toc16938527"/>
      <w:r/>
      <w:bookmarkStart w:id="71" w:name="_Toc20823283"/>
      <w:r/>
      <w:bookmarkStart w:id="72" w:name="_Toc462564070"/>
      <w:r>
        <w:rPr>
          <w:rFonts w:hint="eastAsia" w:ascii="宋体" w:hAnsi="宋体" w:eastAsia="宋体" w:cs="宋体"/>
          <w:b/>
          <w:bCs/>
          <w:color w:val="auto"/>
          <w:sz w:val="24"/>
          <w:szCs w:val="24"/>
          <w:highlight w:val="none"/>
          <w:lang w:val="en-US" w:eastAsia="zh-CN" w:bidi="ar-SA"/>
        </w:rPr>
        <w:t xml:space="preserve">7、磋商文件的澄清</w:t>
      </w:r>
      <w:bookmarkEnd w:id="69"/>
      <w:r/>
      <w:bookmarkEnd w:id="70"/>
      <w:r/>
      <w:bookmarkEnd w:id="71"/>
      <w:r/>
      <w:bookmarkEnd w:id="72"/>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7.1 任何要求对磋商文件进行澄清的供应商，应在磋商截止期5日前按磋商公告中的通讯地址，以书面形式通知采购代理机构。</w:t>
      </w:r>
      <w:r/>
    </w:p>
    <w:p>
      <w:pPr>
        <w:pStyle w:val="987"/>
        <w:ind w:firstLine="482"/>
        <w:jc w:val="both"/>
        <w:keepLines w:val="0"/>
        <w:keepNext w:val="0"/>
        <w:pageBreakBefore w:val="0"/>
        <w:spacing w:before="0" w:beforeAutospacing="0" w:after="0" w:afterAutospacing="0" w:line="560" w:lineRule="exact"/>
        <w:widowControl/>
        <w:rPr>
          <w:rFonts w:hint="eastAsia" w:ascii="宋体" w:hAnsi="宋体" w:eastAsia="宋体" w:cs="宋体"/>
          <w:b/>
          <w:bCs/>
          <w:color w:val="auto"/>
          <w:sz w:val="24"/>
          <w:szCs w:val="24"/>
          <w:highlight w:val="none"/>
        </w:rPr>
      </w:pPr>
      <w:r/>
      <w:bookmarkStart w:id="73" w:name="_Toc16938528"/>
      <w:r/>
      <w:bookmarkStart w:id="74" w:name="_Toc513029212"/>
      <w:r/>
      <w:bookmarkStart w:id="75" w:name="_Toc462564071"/>
      <w:r/>
      <w:bookmarkStart w:id="76" w:name="_Toc20823284"/>
      <w:r>
        <w:rPr>
          <w:rFonts w:hint="eastAsia" w:ascii="宋体" w:hAnsi="宋体" w:eastAsia="宋体" w:cs="宋体"/>
          <w:b/>
          <w:bCs/>
          <w:color w:val="auto"/>
          <w:sz w:val="24"/>
          <w:szCs w:val="24"/>
          <w:highlight w:val="none"/>
          <w:lang w:val="en-US" w:eastAsia="zh-CN" w:bidi="ar-SA"/>
        </w:rPr>
        <w:t xml:space="preserve">8、磋商文件的澄清和修改</w:t>
      </w:r>
      <w:bookmarkEnd w:id="73"/>
      <w:r/>
      <w:bookmarkEnd w:id="74"/>
      <w:r/>
      <w:bookmarkEnd w:id="75"/>
      <w:r/>
      <w:bookmarkEnd w:id="76"/>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8.2采购人可以视采购项目的具体情况，组织供应商进行现场考察或召开磋商前答疑会，但不单独或分别组织只有一个供应商参加的现场考察和答疑会。</w:t>
      </w:r>
      <w:r/>
    </w:p>
    <w:p>
      <w:pPr>
        <w:ind w:firstLine="482"/>
        <w:keepLines w:val="0"/>
        <w:keepNext w:val="0"/>
        <w:pageBreakBefore w:val="0"/>
        <w:spacing w:before="210" w:line="360" w:lineRule="auto"/>
        <w:widowControl w:val="off"/>
        <w:tabs>
          <w:tab w:val="left" w:pos="9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三、响应文件的递交</w:t>
      </w:r>
      <w:bookmarkEnd w:id="66"/>
      <w:r/>
      <w:bookmarkEnd w:id="67"/>
      <w:r/>
      <w:bookmarkEnd w:id="68"/>
      <w:r/>
      <w:r/>
    </w:p>
    <w:p>
      <w:pPr>
        <w:pStyle w:val="987"/>
        <w:ind w:firstLine="482"/>
        <w:jc w:val="both"/>
        <w:keepLines w:val="0"/>
        <w:keepNext w:val="0"/>
        <w:pageBreakBefore w:val="0"/>
        <w:spacing w:before="0" w:beforeAutospacing="0" w:after="0" w:afterAutospacing="0" w:line="560" w:lineRule="exact"/>
        <w:widowControl/>
        <w:rPr>
          <w:rFonts w:hint="eastAsia" w:ascii="宋体" w:hAnsi="宋体" w:eastAsia="宋体" w:cs="宋体"/>
          <w:b/>
          <w:bCs/>
          <w:color w:val="auto"/>
          <w:highlight w:val="none"/>
        </w:rPr>
      </w:pPr>
      <w:r/>
      <w:bookmarkStart w:id="77" w:name="_Hlt26670523"/>
      <w:r/>
      <w:bookmarkEnd w:id="77"/>
      <w:r/>
      <w:bookmarkStart w:id="78" w:name="_Hlt26954856"/>
      <w:r/>
      <w:bookmarkEnd w:id="78"/>
      <w:r/>
      <w:bookmarkStart w:id="79" w:name="_Hlt26954864"/>
      <w:r/>
      <w:bookmarkEnd w:id="79"/>
      <w:r/>
      <w:bookmarkStart w:id="80" w:name="_Toc20823286"/>
      <w:r/>
      <w:bookmarkStart w:id="81" w:name="_Toc16938530"/>
      <w:r/>
      <w:bookmarkStart w:id="82" w:name="_Toc462564073"/>
      <w:r/>
      <w:bookmarkStart w:id="83" w:name="_Toc513029214"/>
      <w:r>
        <w:rPr>
          <w:rFonts w:hint="eastAsia" w:ascii="宋体" w:hAnsi="宋体" w:eastAsia="宋体" w:cs="宋体"/>
          <w:b/>
          <w:bCs/>
          <w:color w:val="auto"/>
          <w:highlight w:val="none"/>
        </w:rPr>
        <w:t xml:space="preserve">9、响应文件的语言及度量衡单位</w:t>
      </w:r>
      <w:bookmarkEnd w:id="80"/>
      <w:r/>
      <w:bookmarkEnd w:id="81"/>
      <w:r/>
      <w:bookmarkEnd w:id="82"/>
      <w:r/>
      <w:bookmarkEnd w:id="83"/>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9.1供应商提交的响应文件以及供应商与采购人、采购代理机构就有关磋商的所有来往通知、函件和文件均应使用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9.2 除技术性能另有规定外，响应文件所使用的度量衡单位，均须采用国家法定计量单位。</w:t>
      </w:r>
      <w:r/>
    </w:p>
    <w:p>
      <w:pPr>
        <w:pStyle w:val="987"/>
        <w:ind w:firstLine="482"/>
        <w:jc w:val="both"/>
        <w:keepLines w:val="0"/>
        <w:keepNext w:val="0"/>
        <w:pageBreakBefore w:val="0"/>
        <w:spacing w:before="0" w:beforeAutospacing="0" w:after="0" w:afterAutospacing="0" w:line="560" w:lineRule="exact"/>
        <w:widowControl/>
        <w:rPr>
          <w:rFonts w:hint="eastAsia" w:ascii="宋体" w:hAnsi="宋体" w:eastAsia="宋体" w:cs="宋体"/>
          <w:b/>
          <w:bCs/>
          <w:color w:val="auto"/>
          <w:highlight w:val="none"/>
        </w:rPr>
      </w:pPr>
      <w:r/>
      <w:bookmarkStart w:id="84" w:name="_Toc16938531"/>
      <w:r/>
      <w:bookmarkStart w:id="85" w:name="_Toc462564074"/>
      <w:r/>
      <w:bookmarkStart w:id="86" w:name="_Toc513029215"/>
      <w:r/>
      <w:bookmarkStart w:id="87" w:name="_Toc20823287"/>
      <w:r>
        <w:rPr>
          <w:rFonts w:hint="eastAsia" w:ascii="宋体" w:hAnsi="宋体" w:eastAsia="宋体" w:cs="宋体"/>
          <w:b/>
          <w:bCs/>
          <w:color w:val="auto"/>
          <w:highlight w:val="none"/>
        </w:rPr>
        <w:t xml:space="preserve">10、响应文件构成</w:t>
      </w:r>
      <w:bookmarkEnd w:id="84"/>
      <w:r/>
      <w:bookmarkEnd w:id="85"/>
      <w:r/>
      <w:bookmarkEnd w:id="86"/>
      <w:r/>
      <w:bookmarkEnd w:id="87"/>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10.1供应商编写的响应文件应包括资格证明文件、符合性证明文件、分项报价表、技术要求响应及偏离表、商务要求响应及偏离表、其他证明文件、磋商响应函等部分。</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987"/>
        <w:ind w:firstLine="482"/>
        <w:jc w:val="both"/>
        <w:keepLines w:val="0"/>
        <w:keepNext w:val="0"/>
        <w:pageBreakBefore w:val="0"/>
        <w:spacing w:before="0" w:beforeAutospacing="0" w:after="0" w:afterAutospacing="0" w:line="560" w:lineRule="exact"/>
        <w:widowControl/>
        <w:rPr>
          <w:rFonts w:hint="eastAsia" w:ascii="宋体" w:hAnsi="宋体" w:eastAsia="宋体" w:cs="宋体"/>
          <w:b/>
          <w:bCs/>
          <w:color w:val="auto"/>
          <w:highlight w:val="none"/>
        </w:rPr>
      </w:pPr>
      <w:r/>
      <w:bookmarkStart w:id="88" w:name="_Toc14577357"/>
      <w:r/>
      <w:bookmarkStart w:id="89" w:name="_Toc14577354"/>
      <w:r/>
      <w:bookmarkStart w:id="90" w:name="_Toc49090509"/>
      <w:r/>
      <w:bookmarkStart w:id="91" w:name="_Toc513029219"/>
      <w:r/>
      <w:bookmarkStart w:id="92" w:name="_Toc49090508"/>
      <w:r/>
      <w:bookmarkStart w:id="93" w:name="_Toc14577355"/>
      <w:r/>
      <w:bookmarkStart w:id="94" w:name="_Toc513029216"/>
      <w:r/>
      <w:bookmarkStart w:id="95" w:name="_Toc49090507"/>
      <w:r>
        <w:rPr>
          <w:rFonts w:hint="eastAsia" w:ascii="宋体" w:hAnsi="宋体" w:eastAsia="宋体" w:cs="宋体"/>
          <w:b/>
          <w:bCs/>
          <w:color w:val="auto"/>
          <w:highlight w:val="none"/>
        </w:rPr>
        <w:t xml:space="preserve">11、证明磋商响应标的符合磋商文件规定的文件</w:t>
      </w:r>
      <w:bookmarkEnd w:id="88"/>
      <w:r/>
      <w:bookmarkEnd w:id="89"/>
      <w:r/>
      <w:bookmarkEnd w:id="90"/>
      <w:r/>
      <w:bookmarkEnd w:id="91"/>
      <w:r/>
      <w:bookmarkEnd w:id="92"/>
      <w:r/>
      <w:bookmarkEnd w:id="93"/>
      <w:r/>
      <w:bookmarkEnd w:id="94"/>
      <w:r/>
      <w:bookmarkEnd w:id="95"/>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11.1供应商应按照磋商文件要求提交证明文件，证明其及磋商响应标的符合磋商文件规定。</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11.2磋商文件对证明文件无明确形式要求的，证明文件可以以文字资料、图纸和数据等形式提交。</w:t>
      </w:r>
      <w:r/>
    </w:p>
    <w:p>
      <w:pPr>
        <w:pStyle w:val="987"/>
        <w:ind w:firstLine="482"/>
        <w:jc w:val="both"/>
        <w:keepLines w:val="0"/>
        <w:keepNext w:val="0"/>
        <w:pageBreakBefore w:val="0"/>
        <w:spacing w:before="0" w:beforeAutospacing="0" w:after="0" w:afterAutospacing="0" w:line="5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12、分项报价表</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12.1供应商应按照磋商文件规定格式填报分项报价表。</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12.2磋商货币。响应文件中的单价和总价无特殊规定的采用人民币报价，以元为单位标注。磋商文件中另有规定的按规定执行。</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13、技术要求响应及偏离表、商务要求响应及偏离表</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13.1供应商需对磋商文件中的技术要求与商务要求逐项作出响应或偏离，并说明原因。</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13.2供应商可在响应文件中提供认为需要的其他技术文件或说明。</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14、服务承诺、培训计划、人员安排及其他</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14.1供应商需根据磋商文件要求提供有关售后服务的管理制度，售后服务机构的分布情况，售后服务人员的数量、素质、技术水平及售后服务的反应能力等。</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14.2供应商需根据磋商文件要求提供培训计划。</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14.3供应商需根据磋商文件要求提供磋商响应标的的主要组成部分、功能设计、实现思路及关键技术等。</w:t>
      </w:r>
      <w:r/>
    </w:p>
    <w:p>
      <w:pPr>
        <w:pStyle w:val="987"/>
        <w:ind w:firstLine="482"/>
        <w:jc w:val="both"/>
        <w:keepLines w:val="0"/>
        <w:keepNext w:val="0"/>
        <w:pageBreakBefore w:val="0"/>
        <w:spacing w:before="0" w:beforeAutospacing="0" w:after="0" w:afterAutospacing="0" w:line="560" w:lineRule="exact"/>
        <w:widowControl/>
        <w:rPr>
          <w:rFonts w:hint="eastAsia" w:ascii="宋体" w:hAnsi="宋体" w:eastAsia="宋体" w:cs="宋体"/>
          <w:b/>
          <w:bCs/>
          <w:color w:val="auto"/>
          <w:highlight w:val="none"/>
        </w:rPr>
      </w:pPr>
      <w:r/>
      <w:bookmarkStart w:id="96" w:name="_Toc14577359"/>
      <w:r/>
      <w:bookmarkStart w:id="97" w:name="_Toc49090510"/>
      <w:r>
        <w:rPr>
          <w:rFonts w:hint="eastAsia" w:ascii="宋体" w:hAnsi="宋体" w:eastAsia="宋体" w:cs="宋体"/>
          <w:b/>
          <w:bCs/>
          <w:color w:val="auto"/>
          <w:highlight w:val="none"/>
        </w:rPr>
        <w:t xml:space="preserve">15、磋商响应函</w:t>
      </w:r>
      <w:bookmarkEnd w:id="96"/>
      <w:r/>
      <w:bookmarkEnd w:id="97"/>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15.1供应商应按照磋商文件中提供的格式完整、正确填写磋商响应函。</w:t>
      </w:r>
      <w:r/>
    </w:p>
    <w:p>
      <w:pPr>
        <w:pStyle w:val="987"/>
        <w:ind w:firstLine="482"/>
        <w:jc w:val="both"/>
        <w:keepLines w:val="0"/>
        <w:keepNext w:val="0"/>
        <w:pageBreakBefore w:val="0"/>
        <w:spacing w:before="0" w:beforeAutospacing="0" w:after="0" w:afterAutospacing="0" w:line="560" w:lineRule="exact"/>
        <w:widowControl/>
        <w:rPr>
          <w:rFonts w:hint="eastAsia" w:ascii="宋体" w:hAnsi="宋体" w:eastAsia="宋体" w:cs="宋体"/>
          <w:b/>
          <w:bCs/>
          <w:color w:val="auto"/>
          <w:highlight w:val="none"/>
        </w:rPr>
      </w:pPr>
      <w:r/>
      <w:bookmarkStart w:id="98" w:name="_Toc49090511"/>
      <w:r/>
      <w:bookmarkStart w:id="99" w:name="_Toc14577360"/>
      <w:r>
        <w:rPr>
          <w:rFonts w:hint="eastAsia" w:ascii="宋体" w:hAnsi="宋体" w:eastAsia="宋体" w:cs="宋体"/>
          <w:b/>
          <w:bCs/>
          <w:color w:val="auto"/>
          <w:highlight w:val="none"/>
        </w:rPr>
        <w:t xml:space="preserve">16、磋商有效期</w:t>
      </w:r>
      <w:bookmarkEnd w:id="98"/>
      <w:r/>
      <w:bookmarkEnd w:id="99"/>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16.1磋商有效期为采购人规定的提交响应文件截止之日后</w:t>
      </w:r>
      <w:r>
        <w:rPr>
          <w:rFonts w:hint="eastAsia" w:ascii="宋体" w:hAnsi="宋体" w:eastAsia="宋体" w:cs="宋体"/>
          <w:b/>
          <w:color w:val="auto"/>
          <w:highlight w:val="none"/>
          <w:u w:val="single"/>
        </w:rPr>
        <w:t xml:space="preserve">九十（90）天</w:t>
      </w:r>
      <w:r>
        <w:rPr>
          <w:rFonts w:hint="eastAsia" w:ascii="宋体" w:hAnsi="宋体" w:eastAsia="宋体" w:cs="宋体"/>
          <w:color w:val="auto"/>
          <w:highlight w:val="none"/>
        </w:rPr>
        <w:t xml:space="preserve">。磋商有效期比规定短的将被视为非实质性响应磋商文件而予以拒绝。</w:t>
      </w:r>
      <w:r/>
    </w:p>
    <w:p>
      <w:pPr>
        <w:pStyle w:val="987"/>
        <w:ind w:firstLine="482"/>
        <w:jc w:val="both"/>
        <w:keepLines w:val="0"/>
        <w:keepNext w:val="0"/>
        <w:pageBreakBefore w:val="0"/>
        <w:spacing w:before="0" w:beforeAutospacing="0" w:after="0" w:afterAutospacing="0"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17、磋商有效期的延长</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firstLine="482"/>
        <w:keepLines w:val="0"/>
        <w:keepNext w:val="0"/>
        <w:pageBreakBefore w:val="0"/>
        <w:spacing w:before="210" w:line="360" w:lineRule="auto"/>
        <w:widowControl w:val="off"/>
        <w:tabs>
          <w:tab w:val="left" w:pos="9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四、响应文件的递交</w:t>
      </w:r>
      <w:r/>
    </w:p>
    <w:p>
      <w:pPr>
        <w:pStyle w:val="987"/>
        <w:ind w:firstLine="482"/>
        <w:jc w:val="both"/>
        <w:keepLines w:val="0"/>
        <w:keepNext w:val="0"/>
        <w:pageBreakBefore w:val="0"/>
        <w:spacing w:before="0" w:beforeAutospacing="0" w:after="0" w:afterAutospacing="0" w:line="560" w:lineRule="exact"/>
        <w:widowControl/>
        <w:rPr>
          <w:rFonts w:ascii="宋体" w:hAnsi="宋体" w:eastAsia="宋体" w:cs="宋体"/>
          <w:b/>
          <w:bCs/>
          <w:color w:val="auto"/>
          <w:highlight w:val="none"/>
        </w:rPr>
      </w:pPr>
      <w:r/>
      <w:bookmarkStart w:id="100" w:name="_Toc16938541"/>
      <w:r/>
      <w:bookmarkStart w:id="101" w:name="_Toc513029225"/>
      <w:r/>
      <w:bookmarkStart w:id="102" w:name="_Toc462564084"/>
      <w:r/>
      <w:bookmarkStart w:id="103" w:name="_Toc20823297"/>
      <w:r>
        <w:rPr>
          <w:rFonts w:hint="eastAsia" w:ascii="宋体" w:hAnsi="宋体" w:eastAsia="宋体" w:cs="宋体"/>
          <w:b/>
          <w:bCs/>
          <w:color w:val="auto"/>
          <w:highlight w:val="none"/>
        </w:rPr>
        <w:t xml:space="preserve">18、电子磋商</w:t>
      </w:r>
      <w:bookmarkEnd w:id="100"/>
      <w:r/>
      <w:bookmarkEnd w:id="101"/>
      <w:r/>
      <w:bookmarkEnd w:id="102"/>
      <w:r/>
      <w:bookmarkEnd w:id="103"/>
      <w:r>
        <w:rPr>
          <w:rFonts w:hint="eastAsia" w:ascii="宋体" w:hAnsi="宋体" w:eastAsia="宋体" w:cs="宋体"/>
          <w:b/>
          <w:bCs/>
          <w:color w:val="auto"/>
          <w:highlight w:val="none"/>
        </w:rPr>
        <w:t xml:space="preserve">响应文件的递交</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18.1供应商应当按照《操作手册》规定，在提交响应文件截止时间前制作并上传电子响应文件。</w:t>
      </w:r>
      <w:bookmarkStart w:id="104" w:name="_Toc16938542"/>
      <w:r/>
      <w:bookmarkEnd w:id="104"/>
      <w:r/>
      <w:bookmarkStart w:id="105" w:name="_Toc20823298"/>
      <w:r/>
      <w:bookmarkEnd w:id="105"/>
      <w:r/>
      <w:r/>
    </w:p>
    <w:p>
      <w:pPr>
        <w:pStyle w:val="987"/>
        <w:ind w:firstLine="482"/>
        <w:jc w:val="both"/>
        <w:keepLines w:val="0"/>
        <w:keepNext w:val="0"/>
        <w:pageBreakBefore w:val="0"/>
        <w:spacing w:before="0" w:beforeAutospacing="0" w:after="0" w:afterAutospacing="0" w:line="560" w:lineRule="exact"/>
        <w:widowControl/>
        <w:rPr>
          <w:rFonts w:ascii="宋体" w:hAnsi="宋体" w:eastAsia="宋体" w:cs="宋体"/>
          <w:b/>
          <w:bCs/>
          <w:color w:val="auto"/>
          <w:highlight w:val="none"/>
        </w:rPr>
      </w:pPr>
      <w:r>
        <w:rPr>
          <w:rFonts w:hint="eastAsia" w:ascii="宋体" w:hAnsi="宋体" w:eastAsia="宋体" w:cs="宋体"/>
          <w:b/>
          <w:bCs/>
          <w:color w:val="auto"/>
          <w:highlight w:val="none"/>
        </w:rPr>
        <w:t xml:space="preserve">19、提交响应文件截止时间</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i/>
          <w:color w:val="auto"/>
          <w:highlight w:val="none"/>
          <w:u w:val="single"/>
        </w:rPr>
        <w:t xml:space="preserve">19.1供应商上传电子响应文件的时间不得迟于磋商公告中规定的提交响应文件截止时间。</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987"/>
        <w:ind w:firstLine="482"/>
        <w:jc w:val="both"/>
        <w:keepLines w:val="0"/>
        <w:keepNext w:val="0"/>
        <w:pageBreakBefore w:val="0"/>
        <w:spacing w:before="0" w:beforeAutospacing="0" w:after="0" w:afterAutospacing="0" w:line="560" w:lineRule="exact"/>
        <w:widowControl/>
        <w:rPr>
          <w:rFonts w:ascii="宋体" w:hAnsi="宋体" w:eastAsia="宋体" w:cs="宋体"/>
          <w:b/>
          <w:bCs/>
          <w:color w:val="auto"/>
          <w:highlight w:val="none"/>
        </w:rPr>
      </w:pPr>
      <w:r/>
      <w:bookmarkStart w:id="106" w:name="_Toc16938543"/>
      <w:r/>
      <w:bookmarkStart w:id="107" w:name="_Toc513029227"/>
      <w:r/>
      <w:bookmarkStart w:id="108" w:name="_Toc20823299"/>
      <w:r>
        <w:rPr>
          <w:rFonts w:hint="eastAsia" w:ascii="宋体" w:hAnsi="宋体" w:eastAsia="宋体" w:cs="宋体"/>
          <w:b/>
          <w:bCs/>
          <w:color w:val="auto"/>
          <w:highlight w:val="none"/>
        </w:rPr>
        <w:t xml:space="preserve">20、响应文件</w:t>
      </w:r>
      <w:bookmarkEnd w:id="106"/>
      <w:r/>
      <w:bookmarkEnd w:id="107"/>
      <w:r/>
      <w:bookmarkEnd w:id="108"/>
      <w:r>
        <w:rPr>
          <w:rFonts w:hint="eastAsia" w:ascii="宋体" w:hAnsi="宋体" w:eastAsia="宋体" w:cs="宋体"/>
          <w:b/>
          <w:bCs/>
          <w:color w:val="auto"/>
          <w:highlight w:val="none"/>
        </w:rPr>
        <w:t xml:space="preserve">的拒收</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20.1 采购人拒绝接收在其规定的提交响应文件截止时间后上传的任何电子响应文件。</w:t>
      </w:r>
      <w:r/>
    </w:p>
    <w:p>
      <w:pPr>
        <w:pStyle w:val="987"/>
        <w:ind w:firstLine="482"/>
        <w:jc w:val="both"/>
        <w:keepLines w:val="0"/>
        <w:keepNext w:val="0"/>
        <w:pageBreakBefore w:val="0"/>
        <w:spacing w:before="0" w:beforeAutospacing="0" w:after="0" w:afterAutospacing="0" w:line="560" w:lineRule="exact"/>
        <w:widowControl/>
        <w:rPr>
          <w:rFonts w:ascii="宋体" w:hAnsi="宋体" w:eastAsia="宋体" w:cs="宋体"/>
          <w:b/>
          <w:bCs/>
          <w:color w:val="auto"/>
          <w:highlight w:val="none"/>
        </w:rPr>
      </w:pPr>
      <w:r/>
      <w:bookmarkStart w:id="109" w:name="_Toc20823300"/>
      <w:r/>
      <w:bookmarkStart w:id="110" w:name="_Toc16938544"/>
      <w:r/>
      <w:bookmarkStart w:id="111" w:name="_Toc513029228"/>
      <w:r>
        <w:rPr>
          <w:rFonts w:hint="eastAsia" w:ascii="宋体" w:hAnsi="宋体" w:eastAsia="宋体" w:cs="宋体"/>
          <w:b/>
          <w:bCs/>
          <w:color w:val="auto"/>
          <w:highlight w:val="none"/>
        </w:rPr>
        <w:t xml:space="preserve">21、响应文件的撤回和修改</w:t>
      </w:r>
      <w:bookmarkEnd w:id="109"/>
      <w:r/>
      <w:bookmarkEnd w:id="110"/>
      <w:r/>
      <w:bookmarkEnd w:id="111"/>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21.1响应文件的撤回</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21.1.1 电子响应文件的撤回</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供应商可在提交响应文件截止时间前，撤回其电子响应文件，具体操作方法见《操作手册》。</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21.1.2供应商撤回电子响应文件，则认为其不再参与本项目磋商活动。</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21.2响应文件的修改</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供应商可在提交响应文件截止时间前，对其电子响应文件进行修改，具体操作方法见《操作手册》。</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21.3 在提交响应文件截止时间之后，供应商不得对其电子响应文件作任何修改。</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21.4 在提交响应文件截止时间至磋商文件中规定的磋商有效期满之间的这段时间内，供应商不得撤回其响应文件。</w:t>
      </w:r>
      <w:r/>
    </w:p>
    <w:p>
      <w:pPr>
        <w:ind w:firstLine="482"/>
        <w:keepLines w:val="0"/>
        <w:keepNext w:val="0"/>
        <w:pageBreakBefore w:val="0"/>
        <w:spacing w:before="210" w:line="360" w:lineRule="auto"/>
        <w:widowControl w:val="off"/>
        <w:tabs>
          <w:tab w:val="left" w:pos="9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五、响应文件的解密与评审</w:t>
      </w:r>
      <w:r/>
    </w:p>
    <w:p>
      <w:pPr>
        <w:pStyle w:val="987"/>
        <w:ind w:firstLine="482"/>
        <w:jc w:val="both"/>
        <w:keepLines w:val="0"/>
        <w:keepNext w:val="0"/>
        <w:pageBreakBefore w:val="0"/>
        <w:spacing w:before="0" w:beforeAutospacing="0" w:after="0" w:afterAutospacing="0" w:line="560" w:lineRule="exact"/>
        <w:widowControl/>
        <w:rPr>
          <w:rFonts w:hint="eastAsia" w:ascii="宋体" w:hAnsi="宋体" w:eastAsia="宋体" w:cs="宋体"/>
          <w:b/>
          <w:bCs/>
          <w:color w:val="auto"/>
          <w:highlight w:val="none"/>
        </w:rPr>
      </w:pPr>
      <w:r/>
      <w:bookmarkStart w:id="112" w:name="_Toc513029230"/>
      <w:r/>
      <w:bookmarkStart w:id="113" w:name="_Toc16938546"/>
      <w:r/>
      <w:bookmarkStart w:id="114" w:name="_Toc20823302"/>
      <w:r/>
      <w:bookmarkStart w:id="115" w:name="_Toc513029237"/>
      <w:r/>
      <w:bookmarkStart w:id="116" w:name="_Toc20823309"/>
      <w:r/>
      <w:bookmarkStart w:id="117" w:name="_Toc16938553"/>
      <w:r>
        <w:rPr>
          <w:rFonts w:hint="eastAsia" w:ascii="宋体" w:hAnsi="宋体" w:eastAsia="宋体" w:cs="宋体"/>
          <w:b/>
          <w:bCs/>
          <w:color w:val="auto"/>
          <w:highlight w:val="none"/>
        </w:rPr>
        <w:t xml:space="preserve">22、</w:t>
      </w:r>
      <w:bookmarkEnd w:id="112"/>
      <w:r/>
      <w:bookmarkEnd w:id="113"/>
      <w:r/>
      <w:bookmarkEnd w:id="114"/>
      <w:r>
        <w:rPr>
          <w:rFonts w:hint="eastAsia" w:ascii="宋体" w:hAnsi="宋体" w:eastAsia="宋体" w:cs="宋体"/>
          <w:b/>
          <w:bCs/>
          <w:color w:val="auto"/>
          <w:highlight w:val="none"/>
        </w:rPr>
        <w:t xml:space="preserve">响应文件解密</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22.1供应商应当按照《操作手册》规定，在苏采云系统规定的时间内对磋商响应文件进行解密。</w:t>
      </w:r>
      <w:r/>
    </w:p>
    <w:p>
      <w:pPr>
        <w:pStyle w:val="987"/>
        <w:ind w:firstLine="482"/>
        <w:jc w:val="both"/>
        <w:keepLines w:val="0"/>
        <w:keepNext w:val="0"/>
        <w:pageBreakBefore w:val="0"/>
        <w:spacing w:before="0" w:beforeAutospacing="0" w:after="0" w:afterAutospacing="0" w:line="560" w:lineRule="exact"/>
        <w:widowControl/>
        <w:rPr>
          <w:rFonts w:hint="eastAsia" w:ascii="宋体" w:hAnsi="宋体" w:eastAsia="宋体" w:cs="宋体"/>
          <w:b/>
          <w:bCs/>
          <w:color w:val="auto"/>
          <w:highlight w:val="none"/>
        </w:rPr>
      </w:pPr>
      <w:r/>
      <w:bookmarkStart w:id="118" w:name="_Toc513029231"/>
      <w:r/>
      <w:bookmarkStart w:id="119" w:name="_Toc16938547"/>
      <w:r/>
      <w:bookmarkStart w:id="120" w:name="_Toc20823303"/>
      <w:r>
        <w:rPr>
          <w:rFonts w:hint="eastAsia" w:ascii="宋体" w:hAnsi="宋体" w:eastAsia="宋体" w:cs="宋体"/>
          <w:b/>
          <w:bCs/>
          <w:color w:val="auto"/>
          <w:highlight w:val="none"/>
        </w:rPr>
        <w:t xml:space="preserve">23、磋商小组</w:t>
      </w:r>
      <w:bookmarkEnd w:id="118"/>
      <w:r/>
      <w:bookmarkEnd w:id="119"/>
      <w:r/>
      <w:bookmarkEnd w:id="120"/>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23.1采购人将组织磋商小组对响应文件进行评审。磋商小组由采购人代表和有关技术、经济等方面的专家组成，且人员构成符合政府采购有关规定。</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23.2磋商小组独立工作，负责评审所有响应文件并确定成交候选人。</w:t>
      </w:r>
      <w:r/>
    </w:p>
    <w:p>
      <w:pPr>
        <w:pStyle w:val="987"/>
        <w:ind w:firstLine="482"/>
        <w:jc w:val="both"/>
        <w:keepLines w:val="0"/>
        <w:keepNext w:val="0"/>
        <w:pageBreakBefore w:val="0"/>
        <w:spacing w:before="0" w:beforeAutospacing="0" w:after="0" w:afterAutospacing="0" w:line="5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24、评审过程的保密与公正</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24.1磋商小组、采购人和采购代理机构工作人员、相关监督人员等与评审工作有关的人员，对评审情况以及在评审过程中获悉的国家秘密、商业秘密负有保密责任。</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24.2在评审过程中，供应商不得以任何行为影响磋商评审过程，否则其响应文件将被视为无效响应文件。</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24.3在项目评审期间，采购代理机构将设专门人员与供应商联系。</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24.4 采购代理机构和磋商小组不向未成交的供应商解释未成交原因，也不公布评审过程中的相关细节。</w:t>
      </w:r>
      <w:r/>
    </w:p>
    <w:p>
      <w:pPr>
        <w:pStyle w:val="987"/>
        <w:ind w:firstLine="482"/>
        <w:jc w:val="both"/>
        <w:keepLines w:val="0"/>
        <w:keepNext w:val="0"/>
        <w:pageBreakBefore w:val="0"/>
        <w:spacing w:before="0" w:beforeAutospacing="0" w:after="0" w:afterAutospacing="0" w:line="560" w:lineRule="exact"/>
        <w:widowControl/>
        <w:rPr>
          <w:rFonts w:hint="eastAsia" w:ascii="宋体" w:hAnsi="宋体" w:eastAsia="宋体" w:cs="宋体"/>
          <w:b/>
          <w:bCs/>
          <w:color w:val="auto"/>
          <w:highlight w:val="none"/>
        </w:rPr>
      </w:pPr>
      <w:r/>
      <w:bookmarkStart w:id="121" w:name="_Toc513029232"/>
      <w:r/>
      <w:bookmarkStart w:id="122" w:name="_Toc16938548"/>
      <w:r/>
      <w:bookmarkStart w:id="123" w:name="_Toc20823304"/>
      <w:r>
        <w:rPr>
          <w:rFonts w:hint="eastAsia" w:ascii="宋体" w:hAnsi="宋体" w:eastAsia="宋体" w:cs="宋体"/>
          <w:b/>
          <w:bCs/>
          <w:color w:val="auto"/>
          <w:highlight w:val="none"/>
        </w:rPr>
        <w:t xml:space="preserve">25、评审过程中的澄清</w:t>
      </w:r>
      <w:bookmarkEnd w:id="121"/>
      <w:r/>
      <w:bookmarkEnd w:id="122"/>
      <w:r/>
      <w:bookmarkEnd w:id="123"/>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磋商小组并非对每个供应商都作澄清要求。</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25.3 接到磋商小组澄清、说明和更正要求的供应商如未按规定作出澄清、说明和 更正，其风险由供应商自行承担。</w:t>
      </w:r>
      <w:r/>
    </w:p>
    <w:p>
      <w:pPr>
        <w:pStyle w:val="987"/>
        <w:ind w:firstLine="482"/>
        <w:jc w:val="both"/>
        <w:keepLines w:val="0"/>
        <w:keepNext w:val="0"/>
        <w:pageBreakBefore w:val="0"/>
        <w:spacing w:before="0" w:beforeAutospacing="0" w:after="0" w:afterAutospacing="0" w:line="560" w:lineRule="exact"/>
        <w:widowControl/>
        <w:rPr>
          <w:rFonts w:hint="eastAsia" w:ascii="宋体" w:hAnsi="宋体" w:eastAsia="宋体" w:cs="宋体"/>
          <w:b/>
          <w:bCs/>
          <w:color w:val="auto"/>
          <w:highlight w:val="none"/>
        </w:rPr>
      </w:pPr>
      <w:r/>
      <w:bookmarkStart w:id="124" w:name="_Toc16938549"/>
      <w:r/>
      <w:bookmarkStart w:id="125" w:name="_Toc20823305"/>
      <w:r/>
      <w:bookmarkStart w:id="126" w:name="_Toc513029233"/>
      <w:r>
        <w:rPr>
          <w:rFonts w:hint="eastAsia" w:ascii="宋体" w:hAnsi="宋体" w:eastAsia="宋体" w:cs="宋体"/>
          <w:b/>
          <w:bCs/>
          <w:color w:val="auto"/>
          <w:highlight w:val="none"/>
        </w:rPr>
        <w:t xml:space="preserve">26、对响应文件的审</w:t>
      </w:r>
      <w:bookmarkEnd w:id="124"/>
      <w:r/>
      <w:bookmarkEnd w:id="125"/>
      <w:r/>
      <w:bookmarkEnd w:id="126"/>
      <w:r>
        <w:rPr>
          <w:rFonts w:hint="eastAsia" w:ascii="宋体" w:hAnsi="宋体" w:eastAsia="宋体" w:cs="宋体"/>
          <w:b/>
          <w:bCs/>
          <w:color w:val="auto"/>
          <w:highlight w:val="none"/>
        </w:rPr>
        <w:t xml:space="preserve">查</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26.1响应文件审查分为资格审查和符合性审查。</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26.1.1 资格审查：由磋商小组依据法律法规和磋商文件的规定，对响应文件中的资格证明文件进行审查，以确定供应商是否具备参加磋商的资格。</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磋商小组在进行资格审查的同时，将在“信用中国”网站（www.creditchina.gov.cn）查询供应商的信用记录，以确定供应商是否具备磋商资格,查询结果留存并归档。</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26.3未实质性响应磋商文件的情形</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26.3.1供应商在苏采云系统规定的时间内未成功解密电子响应文件的。</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26.3.2供应商未按照磋商文件要求上传电子响应文件的。</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26.3.3同一供应商提交两个（含两个）以上不同的响应文件或者最后报价的。</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26.3.4供应商不具备磋商文件中规定资格要求的。</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26.3.5供应商的最后报价超过了采购预算。</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26.3.6不符合磋商文件中规定的实质性要求和条件的</w:t>
      </w:r>
      <w:r>
        <w:rPr>
          <w:rFonts w:hint="eastAsia" w:ascii="宋体" w:hAnsi="宋体" w:eastAsia="宋体" w:cs="宋体"/>
          <w:i/>
          <w:color w:val="auto"/>
          <w:highlight w:val="none"/>
          <w:u w:val="single"/>
        </w:rPr>
        <w:t xml:space="preserve">（本磋商文件中斜体且有下划线部分为实质性要求和条件）。</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26.3.8响应文件含有采购人不能接受的附加条件的。</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26.3.10</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不能证明其报价合理性的，</w:t>
      </w: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应当将其作为无效</w:t>
      </w:r>
      <w:r>
        <w:rPr>
          <w:rFonts w:hint="eastAsia" w:ascii="宋体" w:hAnsi="宋体" w:eastAsia="宋体" w:cs="宋体"/>
          <w:color w:val="auto"/>
          <w:highlight w:val="none"/>
          <w:lang w:val="en-US" w:eastAsia="zh-CN"/>
        </w:rPr>
        <w:t xml:space="preserve">响应</w:t>
      </w:r>
      <w:r>
        <w:rPr>
          <w:rFonts w:hint="eastAsia" w:ascii="宋体" w:hAnsi="宋体" w:eastAsia="宋体" w:cs="宋体"/>
          <w:color w:val="auto"/>
          <w:highlight w:val="none"/>
        </w:rPr>
        <w:t xml:space="preserve">处理。</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（一）评审过程中出现下列情形之一的，磋商小组应当启动异常低价响应审查程序：</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1.响应报价低于采购项目预算50%的，即响应报价&lt;采购项目预算×50%；</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2.响应报价低于采购项目最高限价45%的，即响应报价&lt;采购项目最高限价×45%；</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3.磋商小组认定的供应商报价过低、有可能影响产品质量或者不能诚信履约的其他情形。</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26.3.1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响应文件未按照磋商文件要求加盖CA电子公章的。</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未实质性响应磋商文件的响应文件按无效响应处理。</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如果响应文件实质上没有响应磋商文件的要求，磋商小组将予以拒绝，供应商不得通过修改或撤销</w:t>
      </w:r>
      <w:r>
        <w:rPr>
          <w:rFonts w:hint="eastAsia" w:ascii="宋体" w:hAnsi="宋体" w:eastAsia="宋体" w:cs="宋体"/>
          <w:color w:val="auto"/>
          <w:highlight w:val="none"/>
          <w:lang w:eastAsia="zh-CN"/>
        </w:rPr>
        <w:t xml:space="preserve">不符</w:t>
      </w:r>
      <w:r>
        <w:rPr>
          <w:rFonts w:hint="eastAsia" w:ascii="宋体" w:hAnsi="宋体" w:eastAsia="宋体" w:cs="宋体"/>
          <w:color w:val="auto"/>
          <w:highlight w:val="none"/>
        </w:rPr>
        <w:t xml:space="preserve">合要求的偏离或保留而使其成为实质性响应的文件。</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供应商在项目评审全过程中应</w:t>
      </w:r>
      <w:r>
        <w:rPr>
          <w:rFonts w:hint="eastAsia" w:ascii="宋体" w:hAnsi="宋体" w:eastAsia="宋体" w:cs="宋体"/>
          <w:color w:val="auto"/>
          <w:highlight w:val="none"/>
          <w:lang w:eastAsia="zh-CN"/>
        </w:rPr>
        <w:t xml:space="preserve">保持通信畅通</w:t>
      </w:r>
      <w:r>
        <w:rPr>
          <w:rFonts w:hint="eastAsia" w:ascii="宋体" w:hAnsi="宋体" w:eastAsia="宋体" w:cs="宋体"/>
          <w:color w:val="auto"/>
          <w:highlight w:val="none"/>
        </w:rPr>
        <w:t xml:space="preserve">，并安排专人与采购中心及磋商小组联系。</w:t>
      </w:r>
      <w:r/>
    </w:p>
    <w:p>
      <w:pPr>
        <w:pStyle w:val="987"/>
        <w:ind w:firstLine="482"/>
        <w:jc w:val="both"/>
        <w:keepLines w:val="0"/>
        <w:keepNext w:val="0"/>
        <w:pageBreakBefore w:val="0"/>
        <w:spacing w:before="0" w:beforeAutospacing="0" w:after="0" w:afterAutospacing="0" w:line="5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27、磋商程序及评审方法和评审标准</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27.1磋商程序</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27.2 评审方法和评审标准</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27.2.1评审方法。经磋商确定最终采购需求和提交最后报价的供应商后，由磋商小组采用综合评分法对提交最后报价的供应商的响应文件和最后报价进行综合评分。</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27.2.2评审标准</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见本磋商文件第五章规定。</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27.3采购活动终止的情况</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出现下列情形之一的，本次竞争性磋商采购活动将被终止：</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27.3.1因情况变化，不再符合规定的竞争性磋商采购方式适用情形的。</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27.3.2出现影响采购公正的违法、违规行为的。</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27.3.3除本磋商文件第二章第27.1.2条第三款规定的情形外，在磋商过程中符合要求的供应商或者最后报价未超过采购预算的供应商不足3家的。</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27.3.4在苏采云系统规定时间内成功解密电子响应文件的供应商不足3家的。</w:t>
      </w:r>
      <w:r/>
    </w:p>
    <w:p>
      <w:pPr>
        <w:ind w:firstLine="482"/>
        <w:keepLines w:val="0"/>
        <w:keepNext w:val="0"/>
        <w:pageBreakBefore w:val="0"/>
        <w:spacing w:before="210" w:line="360" w:lineRule="auto"/>
        <w:widowControl w:val="off"/>
        <w:tabs>
          <w:tab w:val="left" w:pos="9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lang w:eastAsia="zh-CN"/>
        </w:rPr>
        <w:t xml:space="preserve">成交</w:t>
      </w:r>
      <w:bookmarkEnd w:id="115"/>
      <w:r/>
      <w:bookmarkEnd w:id="116"/>
      <w:r/>
      <w:bookmarkEnd w:id="117"/>
      <w:r/>
      <w:r/>
    </w:p>
    <w:p>
      <w:pPr>
        <w:pStyle w:val="987"/>
        <w:ind w:firstLine="482"/>
        <w:jc w:val="both"/>
        <w:keepLines w:val="0"/>
        <w:keepNext w:val="0"/>
        <w:pageBreakBefore w:val="0"/>
        <w:spacing w:before="0" w:beforeAutospacing="0" w:after="0" w:afterAutospacing="0" w:line="560" w:lineRule="exact"/>
        <w:widowControl/>
        <w:rPr>
          <w:rFonts w:ascii="宋体" w:hAnsi="宋体" w:eastAsia="宋体" w:cs="宋体"/>
          <w:b/>
          <w:bCs/>
          <w:color w:val="auto"/>
          <w:highlight w:val="none"/>
        </w:rPr>
      </w:pPr>
      <w:r/>
      <w:bookmarkStart w:id="127" w:name="_Toc20823310"/>
      <w:r/>
      <w:bookmarkStart w:id="128" w:name="_Toc513029238"/>
      <w:r/>
      <w:bookmarkStart w:id="129" w:name="_Toc16938554"/>
      <w:r>
        <w:rPr>
          <w:rFonts w:hint="eastAsia" w:ascii="宋体" w:hAnsi="宋体" w:eastAsia="宋体" w:cs="宋体"/>
          <w:b/>
          <w:bCs/>
          <w:color w:val="auto"/>
          <w:highlight w:val="none"/>
        </w:rPr>
        <w:t xml:space="preserve">28、</w:t>
      </w:r>
      <w:bookmarkEnd w:id="127"/>
      <w:r>
        <w:rPr>
          <w:rFonts w:hint="eastAsia" w:ascii="宋体" w:hAnsi="宋体" w:eastAsia="宋体" w:cs="宋体"/>
          <w:b/>
          <w:bCs/>
          <w:color w:val="auto"/>
          <w:highlight w:val="none"/>
        </w:rPr>
        <w:t xml:space="preserve">确定</w:t>
      </w:r>
      <w:bookmarkEnd w:id="128"/>
      <w:r/>
      <w:bookmarkEnd w:id="129"/>
      <w:r>
        <w:rPr>
          <w:rFonts w:hint="eastAsia" w:ascii="宋体" w:hAnsi="宋体" w:eastAsia="宋体" w:cs="宋体"/>
          <w:b/>
          <w:bCs/>
          <w:color w:val="auto"/>
          <w:highlight w:val="none"/>
        </w:rPr>
        <w:t xml:space="preserve">成交单位</w:t>
      </w:r>
      <w:r/>
    </w:p>
    <w:p>
      <w:pPr>
        <w:pStyle w:val="987"/>
        <w:ind w:firstLine="480"/>
        <w:jc w:val="both"/>
        <w:keepLines w:val="0"/>
        <w:keepNext w:val="0"/>
        <w:pageBreakBefore w:val="0"/>
        <w:spacing w:before="0" w:beforeAutospacing="0" w:after="0" w:afterAutospacing="0" w:line="560" w:lineRule="exact"/>
        <w:widowControl/>
        <w:tabs>
          <w:tab w:val="left" w:pos="901" w:leader="none"/>
        </w:tabs>
        <w:rPr>
          <w:rFonts w:ascii="宋体" w:hAnsi="宋体" w:eastAsia="宋体" w:cs="宋体"/>
          <w:color w:val="auto"/>
          <w:highlight w:val="none"/>
        </w:rPr>
      </w:pPr>
      <w:r>
        <w:rPr>
          <w:rFonts w:hint="eastAsia" w:ascii="宋体" w:hAnsi="宋体" w:eastAsia="宋体" w:cs="宋体"/>
          <w:color w:val="auto"/>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28.2采购人从评审报告提出的成交候选供应商中，按照排序由高到低的原则确定成交供应商。采购人确定成交供应商后，将在“中国政府采购网”、“江苏政府采购网”“盐城市政府采购网”发布成交结果公告，公告期限为1个工作日。</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28.3若有充分证据证明，成交供应商出现下列情况之一的，一经查实，将被取消成交资格：</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28.3.1提供虚假材料谋取成交的。</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28.3.2与评审专家、采购人、其他供应商或者采购代理机构工作人员恶意串通的。</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28.3.3向评审专家、采购人或采购代理机构工作人员行贿或者提供其他不正当利益的。</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28.3.4恶意竞争，最后报价明显低于其自身合理成本且又无法提供证明的。</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28.3.5不满足本磋商文件规定的实质性要求，但在评审过程中又未被磋商小组发现的。</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28.3.6成交后无正当理由拒不与采购人签订政府采购合同或者未按照磋商文件确定的事项签订政府采购合同的。</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28.3.7将政府采购合同转包的。</w:t>
      </w:r>
      <w:r/>
    </w:p>
    <w:p>
      <w:pPr>
        <w:pStyle w:val="987"/>
        <w:ind w:firstLine="482"/>
        <w:jc w:val="both"/>
        <w:keepLines w:val="0"/>
        <w:keepNext w:val="0"/>
        <w:pageBreakBefore w:val="0"/>
        <w:spacing w:before="0" w:beforeAutospacing="0" w:after="0" w:afterAutospacing="0" w:line="560" w:lineRule="exact"/>
        <w:widowControl/>
        <w:rPr>
          <w:rFonts w:ascii="宋体" w:hAnsi="宋体" w:eastAsia="宋体" w:cs="宋体"/>
          <w:b/>
          <w:bCs/>
          <w:color w:val="auto"/>
          <w:highlight w:val="none"/>
        </w:rPr>
      </w:pPr>
      <w:r/>
      <w:bookmarkStart w:id="130" w:name="_Toc200451960"/>
      <w:r>
        <w:rPr>
          <w:rFonts w:hint="eastAsia" w:ascii="宋体" w:hAnsi="宋体" w:eastAsia="宋体" w:cs="宋体"/>
          <w:b/>
          <w:bCs/>
          <w:color w:val="auto"/>
          <w:highlight w:val="none"/>
        </w:rPr>
        <w:t xml:space="preserve">29、质疑处理</w:t>
      </w:r>
      <w:bookmarkEnd w:id="130"/>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29.1 提出质疑的供应商应当是参与所质疑项目采购活动的供应商。潜在供应商依法获取其可质疑的磋商文件的，可以对磋商文件提出质疑。</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29.2供应商认为磋商文件、磋商过程和磋商结果使自己的权益受到损害的，可以在知道或应知其权益受到损害之日起七个工作日内，以书面形式根据下述29.4条款的规定向采购代理机构或采购人提出质疑。上述应知其权益受到损害之日，是指：</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29.2.1对可以质疑的磋商文件提出质疑的，为收到磋商文件之日或者磋商文件公告期限届满之日。</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29.2.2对磋商过程提出质疑的，为各采购程序环节结束之日。</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29.2.3对成交结果提出质疑的，为成交结果公告期限届满之日。</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29.4 以下情形的质疑不予受理</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29.4.1 内容不符合《政府采购质疑和投诉办法》第十二条规定的质疑。</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29.4.2 超出政府采购法定期限的质疑。</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29.4.3 以传真、电子邮件等方式递交的非原件形式的质疑。</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29.4.4未参加磋商活动的供应商或在磋商活动中自身权益未受到损害的供应商所提出的质疑。</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29.4.5供应商组成联合体参加磋商，联合体中任何一方或多方未按要求签字、盖章、加盖公章的质疑。</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87"/>
        <w:ind w:firstLine="482"/>
        <w:jc w:val="both"/>
        <w:keepLines w:val="0"/>
        <w:keepNext w:val="0"/>
        <w:pageBreakBefore w:val="0"/>
        <w:spacing w:before="0" w:beforeAutospacing="0" w:after="0" w:afterAutospacing="0" w:line="560" w:lineRule="exact"/>
        <w:widowControl/>
        <w:rPr>
          <w:rFonts w:ascii="宋体" w:hAnsi="宋体" w:eastAsia="宋体" w:cs="宋体"/>
          <w:b/>
          <w:bCs/>
          <w:color w:val="auto"/>
          <w:highlight w:val="none"/>
        </w:rPr>
      </w:pPr>
      <w:r>
        <w:rPr>
          <w:rFonts w:hint="eastAsia" w:ascii="宋体" w:hAnsi="宋体" w:eastAsia="宋体" w:cs="宋体"/>
          <w:b/>
          <w:bCs/>
          <w:color w:val="auto"/>
          <w:highlight w:val="none"/>
        </w:rPr>
        <w:t xml:space="preserve">30、成交通知书</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val="0"/>
        <w:keepNext w:val="0"/>
        <w:pageBreakBefore w:val="0"/>
        <w:spacing w:before="210" w:line="360" w:lineRule="auto"/>
        <w:widowControl w:val="off"/>
        <w:tabs>
          <w:tab w:val="left" w:pos="900" w:leader="none"/>
        </w:tabs>
        <w:rPr>
          <w:rFonts w:hint="eastAsia" w:ascii="宋体" w:hAnsi="宋体" w:eastAsia="宋体" w:cs="宋体"/>
          <w:b/>
          <w:color w:val="auto"/>
          <w:sz w:val="24"/>
          <w:szCs w:val="24"/>
          <w:highlight w:val="none"/>
        </w:rPr>
      </w:pPr>
      <w:r/>
      <w:bookmarkStart w:id="131" w:name="_Toc16938552"/>
      <w:r/>
      <w:bookmarkStart w:id="132" w:name="_Toc20823308"/>
      <w:r/>
      <w:bookmarkStart w:id="133" w:name="_Toc513029236"/>
      <w:r/>
      <w:bookmarkStart w:id="134" w:name="_Toc120614220"/>
      <w:r>
        <w:rPr>
          <w:rFonts w:hint="eastAsia" w:ascii="宋体" w:hAnsi="宋体" w:eastAsia="宋体" w:cs="宋体"/>
          <w:b/>
          <w:color w:val="auto"/>
          <w:sz w:val="24"/>
          <w:szCs w:val="24"/>
          <w:highlight w:val="none"/>
        </w:rPr>
        <w:t xml:space="preserve">七、授予合同</w:t>
      </w:r>
      <w:bookmarkEnd w:id="131"/>
      <w:r/>
      <w:bookmarkEnd w:id="132"/>
      <w:r/>
      <w:bookmarkEnd w:id="133"/>
      <w:r/>
      <w:bookmarkEnd w:id="134"/>
      <w:r/>
      <w:r/>
    </w:p>
    <w:p>
      <w:pPr>
        <w:pStyle w:val="987"/>
        <w:ind w:firstLine="482"/>
        <w:jc w:val="both"/>
        <w:keepLines w:val="0"/>
        <w:keepNext w:val="0"/>
        <w:pageBreakBefore w:val="0"/>
        <w:spacing w:before="0" w:beforeAutospacing="0" w:after="0" w:afterAutospacing="0" w:line="5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31.签订合同</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pStyle w:val="987"/>
        <w:ind w:firstLine="482"/>
        <w:jc w:val="both"/>
        <w:keepLines w:val="0"/>
        <w:keepNext w:val="0"/>
        <w:pageBreakBefore w:val="0"/>
        <w:spacing w:before="0" w:beforeAutospacing="0" w:after="0" w:afterAutospacing="0" w:line="5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32.标的物的追加</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87"/>
        <w:ind w:firstLine="482"/>
        <w:jc w:val="both"/>
        <w:keepLines w:val="0"/>
        <w:keepNext w:val="0"/>
        <w:pageBreakBefore w:val="0"/>
        <w:spacing w:before="0" w:beforeAutospacing="0" w:after="0" w:afterAutospacing="0" w:line="5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33.政府采购政策功能落实</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33.1政府采购线上合同信用融资政策</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keepLines w:val="0"/>
        <w:keepNext w:val="0"/>
        <w:pageBreakBefore w:val="0"/>
        <w:spacing w:line="560" w:lineRule="exact"/>
        <w:tabs>
          <w:tab w:val="left" w:pos="138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33.2进口产品</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keepLines w:val="0"/>
        <w:keepNext w:val="0"/>
        <w:pageBreakBefore w:val="0"/>
        <w:spacing w:line="560" w:lineRule="exact"/>
        <w:tabs>
          <w:tab w:val="left" w:pos="138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33.3中小企业、监狱企业及残疾人福利性单位</w:t>
      </w:r>
      <w:r/>
    </w:p>
    <w:p>
      <w:pPr>
        <w:ind w:firstLine="480"/>
        <w:keepLines w:val="0"/>
        <w:keepNext w:val="0"/>
        <w:pageBreakBefore w:val="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33.3.1中小企业定义：</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w:t>
      </w:r>
      <w:r>
        <w:rPr>
          <w:rFonts w:hint="eastAsia" w:ascii="宋体" w:hAnsi="宋体" w:eastAsia="宋体" w:cs="宋体"/>
          <w:color w:val="auto"/>
          <w:sz w:val="24"/>
          <w:szCs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33.3.2供应商提供的货物、工程或者服务符合下列情形的，享受中小企业扶持政策：</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33.3.2.1在货物采购项目中，货物由中小企业制造，即货物由中小企业生产且使用该中小企业商号或者注册商标；</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33.3.2.2在工程采购项目中，工程由中小企业承建，即工程施工单位为中小企业；</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33.3.2.3在服务采购项目中，服务由中小企业承接，即提供服务的人员为中小企业依照《中华人民共和国劳动合同法》订立劳动合同的从业人员。</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33.3.3在货物采购项目中，供应商提供的货物既有中小企业制造货物，也有大型企业制造货物的，不享受中小企业扶持政策。</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33.3.4以联合体形式参加政府采购活动，联合体各方均为中小企业的，联合体视同中小企业。其中，联合体各方均为小微企业的，联合体视同小微企业。</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33.3.6残疾人福利单位定义：享受政府采购支持政策的残疾人福利性单位应当同时满足以下条件：</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33.3.6.1安置的残疾人占本单位在职职工人数的比例不低于25%（含25%），并且安置的残疾人人数不少于10 人（含10 人）；</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33.3.6.2依法与安置的每位残疾人签订了一年以上（含一年）的劳动合同或服务协议；</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33.3.6.3为安置的每位残疾人按月足额缴纳了基本养老保险、基本医疗保险、失业保险、工伤保险和生育保险等社会保险费；</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33.3.6.4通过银行等金融机构向安置的每位残疾人，按月支付了不低于单位所在区县适用的经省级人民政府批准的月最低工资标准的工资；</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33.3.6.5提供本单位制造的货物、承担的工程或者服务（以下简称产品），或者提供其他残疾人福利性单位制造的货物（不包括使用非残疾人福利性单位注册商标的货物）；</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33.3.7本项目是否专门面向中小企业预留采购份额见第一章《竞争性磋商公告》。</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33.3.8采购标的对应的中小企业划分标准所属行业见第四章《采购需求》。</w:t>
      </w:r>
      <w:r/>
    </w:p>
    <w:p>
      <w:pPr>
        <w:pStyle w:val="987"/>
        <w:ind w:firstLine="480"/>
        <w:jc w:val="both"/>
        <w:keepLines w:val="0"/>
        <w:keepNext w:val="0"/>
        <w:pageBreakBefore w:val="0"/>
        <w:spacing w:before="0" w:beforeAutospacing="0" w:after="0" w:afterAutospacing="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33.3.9小微企业价格评审优惠的政策：见第五章《评标方法和评标标准》。</w:t>
      </w:r>
      <w:r/>
    </w:p>
    <w:p>
      <w:pPr>
        <w:ind w:firstLine="480"/>
        <w:keepLines w:val="0"/>
        <w:keepNext w:val="0"/>
        <w:pageBreakBefore w:val="0"/>
        <w:spacing w:line="560" w:lineRule="exact"/>
        <w:tabs>
          <w:tab w:val="left" w:pos="138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33.4政府采购节能产品、环境标志产品</w:t>
      </w:r>
      <w:r/>
    </w:p>
    <w:p>
      <w:pPr>
        <w:ind w:firstLine="480"/>
        <w:keepLines w:val="0"/>
        <w:keepNext w:val="0"/>
        <w:pageBreakBefore w:val="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keepLines w:val="0"/>
        <w:keepNext w:val="0"/>
        <w:pageBreakBefore w:val="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keepLines w:val="0"/>
        <w:keepNext w:val="0"/>
        <w:pageBreakBefore w:val="0"/>
        <w:spacing w:line="560" w:lineRule="exact"/>
        <w:tabs>
          <w:tab w:val="left" w:pos="138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33.5绿色包装</w:t>
      </w:r>
      <w:r/>
    </w:p>
    <w:p>
      <w:pPr>
        <w:ind w:firstLine="480"/>
        <w:keepLines w:val="0"/>
        <w:keepNext w:val="0"/>
        <w:pageBreakBefore w:val="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keepLines w:val="0"/>
        <w:keepNext w:val="0"/>
        <w:pageBreakBefore w:val="0"/>
        <w:spacing w:line="560" w:lineRule="exact"/>
        <w:tabs>
          <w:tab w:val="left" w:pos="138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33.6政府采购创新产品</w:t>
      </w:r>
      <w:r/>
    </w:p>
    <w:p>
      <w:pPr>
        <w:ind w:firstLine="480"/>
        <w:keepLines w:val="0"/>
        <w:keepNext w:val="0"/>
        <w:pageBreakBefore w:val="0"/>
        <w:spacing w:line="56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采购人优先采购各级政府部门公开发布的有效期内的创新产品、创新服务、首台套、首购首用等《目录》的创新产品。</w:t>
      </w:r>
      <w:r/>
    </w:p>
    <w:p>
      <w:pPr>
        <w:ind w:firstLine="480"/>
        <w:keepLines w:val="0"/>
        <w:keepNext w:val="0"/>
        <w:pageBreakBefore w:val="0"/>
        <w:spacing w:line="560" w:lineRule="exact"/>
        <w:tabs>
          <w:tab w:val="left" w:pos="138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33.7绿色数据中心政策 </w:t>
      </w:r>
      <w:r/>
    </w:p>
    <w:p>
      <w:pPr>
        <w:ind w:firstLine="480"/>
        <w:keepLines w:val="0"/>
        <w:keepNext w:val="0"/>
        <w:pageBreakBefore w:val="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keepLines w:val="0"/>
        <w:keepNext w:val="0"/>
        <w:pageBreakBefore w:val="0"/>
        <w:spacing w:line="560" w:lineRule="exact"/>
        <w:tabs>
          <w:tab w:val="left" w:pos="138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33.8履约保证金政策</w:t>
      </w:r>
      <w:r/>
    </w:p>
    <w:p>
      <w:pPr>
        <w:pStyle w:val="1028"/>
        <w:ind w:left="0" w:firstLine="480"/>
        <w:keepLines w:val="0"/>
        <w:keepNext w:val="0"/>
        <w:pageBreakBefore w:val="0"/>
        <w:spacing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确需收取履约保证金的，履约保证金的缴纳形式：</w:t>
      </w:r>
      <w:r/>
    </w:p>
    <w:p>
      <w:pPr>
        <w:ind w:firstLine="480"/>
        <w:keepLines w:val="0"/>
        <w:keepNext w:val="0"/>
        <w:pageBreakBefore w:val="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如以履约保函（保险）形式缴纳履约保证金，供应商可通过政府采购电子履约保函（保险）平台（www.jsdzbh.com）在线申请履约保函（保险）。</w:t>
      </w:r>
      <w:r/>
    </w:p>
    <w:p>
      <w:pPr>
        <w:ind w:firstLine="480"/>
        <w:keepLines w:val="0"/>
        <w:keepNext w:val="0"/>
        <w:pageBreakBefore w:val="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0"/>
        <w:keepLines w:val="0"/>
        <w:keepNext w:val="0"/>
        <w:pageBreakBefore w:val="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本项目免收履约保证金</w:t>
      </w:r>
      <w:r/>
    </w:p>
    <w:p>
      <w:pPr>
        <w:ind w:firstLine="482"/>
        <w:keepLines w:val="0"/>
        <w:keepNext w:val="0"/>
        <w:pageBreakBefore w:val="0"/>
        <w:spacing w:line="560" w:lineRule="exact"/>
        <w:tabs>
          <w:tab w:val="left" w:pos="138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34. 预付款制度</w:t>
      </w:r>
      <w:r/>
    </w:p>
    <w:p>
      <w:pPr>
        <w:ind w:firstLine="480"/>
        <w:keepLines w:val="0"/>
        <w:keepNext w:val="0"/>
        <w:pageBreakBefore w:val="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本项目落实预付款制度，预付款比例为</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%。在签订合同时，中标、成交供应商明确书面表示无需预付款或者主动要求降低预付款比例的，采购人可就预付款比例作相应调整。</w:t>
      </w:r>
      <w:r/>
    </w:p>
    <w:p>
      <w:pPr>
        <w:ind w:firstLine="482"/>
        <w:keepLines w:val="0"/>
        <w:keepNext w:val="0"/>
        <w:pageBreakBefore w:val="0"/>
        <w:spacing w:line="560" w:lineRule="exact"/>
        <w:rPr>
          <w:rFonts w:hint="eastAsia" w:ascii="宋体" w:hAnsi="宋体" w:cs="宋体"/>
          <w:b/>
          <w:bCs/>
          <w:color w:val="auto"/>
          <w:sz w:val="24"/>
          <w:szCs w:val="24"/>
          <w:highlight w:val="none"/>
        </w:rPr>
        <w:sectPr>
          <w:footerReference w:type="default" r:id="rId11"/>
          <w:footnotePr/>
          <w:endnotePr/>
          <w:type w:val="nextPage"/>
          <w:pgSz w:w="11905" w:h="16838" w:orient="portrait"/>
          <w:pgMar w:top="607" w:right="850" w:bottom="811" w:left="1134" w:header="624" w:footer="992" w:gutter="0"/>
          <w:cols w:num="1" w:sep="0" w:space="1701" w:equalWidth="1"/>
          <w:docGrid w:linePitch="360"/>
        </w:sectPr>
      </w:pPr>
      <w:r>
        <w:rPr>
          <w:rFonts w:hint="eastAsia" w:ascii="宋体" w:hAnsi="宋体" w:cs="宋体"/>
          <w:b/>
          <w:bCs/>
          <w:color w:val="auto"/>
          <w:sz w:val="24"/>
          <w:szCs w:val="24"/>
          <w:highlight w:val="none"/>
        </w:rPr>
      </w:r>
      <w:r/>
    </w:p>
    <w:p>
      <w:pPr>
        <w:ind w:firstLine="875"/>
        <w:jc w:val="center"/>
        <w:spacing w:after="208" w:line="360" w:lineRule="auto"/>
        <w:tabs>
          <w:tab w:val="left" w:pos="900" w:leader="none"/>
        </w:tabs>
        <w:rPr>
          <w:rFonts w:ascii="黑体" w:hAnsi="Arial" w:eastAsia="黑体"/>
          <w:color w:val="auto"/>
          <w:sz w:val="44"/>
          <w:szCs w:val="44"/>
          <w:highlight w:val="none"/>
        </w:rPr>
      </w:pPr>
      <w:r>
        <w:rPr>
          <w:rFonts w:hint="eastAsia" w:ascii="黑体" w:hAnsi="Arial" w:eastAsia="黑体"/>
          <w:color w:val="auto"/>
          <w:sz w:val="44"/>
          <w:szCs w:val="44"/>
          <w:highlight w:val="none"/>
        </w:rPr>
        <w:t xml:space="preserve">第三章</w:t>
      </w:r>
      <w:r>
        <w:rPr>
          <w:rFonts w:ascii="黑体" w:hAnsi="Arial" w:eastAsia="黑体"/>
          <w:color w:val="auto"/>
          <w:sz w:val="44"/>
          <w:szCs w:val="44"/>
          <w:highlight w:val="none"/>
        </w:rPr>
        <w:t xml:space="preserve">  </w:t>
      </w:r>
      <w:r>
        <w:rPr>
          <w:rFonts w:hint="eastAsia" w:ascii="黑体" w:hAnsi="Arial" w:eastAsia="黑体"/>
          <w:color w:val="auto"/>
          <w:sz w:val="44"/>
          <w:szCs w:val="44"/>
          <w:highlight w:val="none"/>
        </w:rPr>
        <w:t xml:space="preserve">合同条款及格式</w:t>
      </w:r>
      <w:r/>
    </w:p>
    <w:p>
      <w:pPr>
        <w:ind w:left="-314" w:right="238" w:firstLine="542"/>
        <w:spacing w:line="60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项目名称：</w:t>
      </w:r>
      <w:r>
        <w:rPr>
          <w:rFonts w:hint="eastAsia" w:ascii="宋体" w:hAnsi="宋体" w:cs="宋体"/>
          <w:b/>
          <w:bCs/>
          <w:color w:val="auto"/>
          <w:sz w:val="24"/>
          <w:szCs w:val="24"/>
          <w:highlight w:val="none"/>
          <w:lang w:eastAsia="zh-CN"/>
        </w:rPr>
        <w:t xml:space="preserve">盐城市土壤污染状况调查、风险评估、修复效果评估报告评审以及质量控制技术服务</w:t>
      </w:r>
      <w:r/>
    </w:p>
    <w:p>
      <w:pPr>
        <w:ind w:left="-314" w:right="238" w:firstLine="542"/>
        <w:spacing w:line="6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项目编号：</w:t>
      </w:r>
      <w:r>
        <w:rPr>
          <w:rFonts w:hint="eastAsia" w:ascii="宋体" w:hAnsi="宋体" w:eastAsia="宋体" w:cs="宋体"/>
          <w:b/>
          <w:bCs/>
          <w:color w:val="auto"/>
          <w:sz w:val="24"/>
          <w:szCs w:val="24"/>
          <w:highlight w:val="none"/>
          <w:lang w:eastAsia="zh-CN"/>
        </w:rPr>
        <w:t xml:space="preserve">JSZC-320900-YJZC-C2025-0003</w:t>
      </w:r>
      <w:r/>
    </w:p>
    <w:p>
      <w:pPr>
        <w:ind w:left="-314" w:right="238" w:firstLine="542"/>
        <w:spacing w:line="600" w:lineRule="exact"/>
        <w:rPr>
          <w:rFonts w:hint="eastAsia" w:ascii="宋体" w:hAnsi="宋体" w:cs="宋体"/>
          <w:b/>
          <w:bCs/>
          <w:color w:val="auto"/>
          <w:sz w:val="24"/>
          <w:szCs w:val="24"/>
          <w:highlight w:val="none"/>
        </w:rPr>
      </w:pPr>
      <w:r/>
      <w:bookmarkStart w:id="135" w:name="OLE_LINK15"/>
      <w:r>
        <w:rPr>
          <w:rFonts w:hint="eastAsia" w:ascii="宋体" w:hAnsi="宋体" w:cs="宋体"/>
          <w:b/>
          <w:bCs/>
          <w:color w:val="auto"/>
          <w:sz w:val="24"/>
          <w:szCs w:val="24"/>
          <w:highlight w:val="none"/>
        </w:rPr>
        <w:t xml:space="preserve">委托单位：</w:t>
      </w:r>
      <w:r>
        <w:rPr>
          <w:rFonts w:hint="eastAsia" w:ascii="宋体" w:hAnsi="宋体" w:cs="宋体"/>
          <w:b/>
          <w:bCs/>
          <w:color w:val="auto"/>
          <w:sz w:val="24"/>
          <w:szCs w:val="24"/>
          <w:highlight w:val="none"/>
          <w:u w:val="single"/>
        </w:rPr>
        <w:t xml:space="preserve">盐城市生态环境局</w:t>
      </w:r>
      <w:r>
        <w:rPr>
          <w:rFonts w:hint="eastAsia" w:ascii="宋体" w:hAnsi="宋体" w:cs="宋体"/>
          <w:b/>
          <w:bCs/>
          <w:color w:val="auto"/>
          <w:sz w:val="24"/>
          <w:szCs w:val="24"/>
          <w:highlight w:val="none"/>
        </w:rPr>
        <w:t xml:space="preserve">（以下简称“甲方”）</w:t>
      </w:r>
      <w:r/>
    </w:p>
    <w:p>
      <w:pPr>
        <w:ind w:left="-314" w:right="238" w:firstLine="542"/>
        <w:spacing w:line="6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受托单位：</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（以下简称“乙方”）</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cs="宋体"/>
          <w:color w:val="auto"/>
          <w:sz w:val="24"/>
          <w:szCs w:val="24"/>
          <w:highlight w:val="none"/>
        </w:rPr>
        <w:t xml:space="preserve">《中华人民共和国民法典》</w:t>
      </w:r>
      <w:r>
        <w:rPr>
          <w:rFonts w:hint="eastAsia" w:ascii="宋体" w:hAnsi="宋体" w:cs="宋体"/>
          <w:color w:val="auto"/>
          <w:sz w:val="24"/>
          <w:highlight w:val="none"/>
        </w:rPr>
        <w:t xml:space="preserve">、《中华人民共和国政府</w:t>
      </w:r>
      <w:r>
        <w:rPr>
          <w:rFonts w:hint="eastAsia" w:ascii="宋体" w:hAnsi="宋体" w:eastAsia="宋体" w:cs="宋体"/>
          <w:color w:val="auto"/>
          <w:sz w:val="24"/>
          <w:highlight w:val="none"/>
        </w:rPr>
        <w:t xml:space="preserve">采购法》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《中华人民共和国政府采购法</w:t>
      </w:r>
      <w:r>
        <w:rPr>
          <w:rFonts w:hint="eastAsia" w:ascii="宋体" w:hAnsi="宋体" w:eastAsia="宋体" w:cs="宋体"/>
          <w:color w:val="auto"/>
          <w:sz w:val="24"/>
          <w:highlight w:val="none"/>
          <w:lang w:eastAsia="zh-CN"/>
        </w:rPr>
        <w:t xml:space="preserve">实施条例</w:t>
      </w:r>
      <w:r>
        <w:rPr>
          <w:rFonts w:hint="eastAsia" w:ascii="宋体" w:hAnsi="宋体" w:eastAsia="宋体" w:cs="宋体"/>
          <w:color w:val="auto"/>
          <w:sz w:val="24"/>
          <w:highlight w:val="none"/>
        </w:rPr>
        <w:t xml:space="preserve">》及</w:t>
      </w:r>
      <w:r>
        <w:rPr>
          <w:rFonts w:hint="eastAsia" w:ascii="宋体" w:hAnsi="宋体" w:eastAsia="宋体" w:cs="宋体"/>
          <w:color w:val="auto"/>
          <w:sz w:val="24"/>
          <w:highlight w:val="none"/>
          <w:lang w:eastAsia="zh-CN"/>
        </w:rPr>
        <w:t xml:space="preserve">其他法律、法规的</w:t>
      </w:r>
      <w:r>
        <w:rPr>
          <w:rFonts w:hint="eastAsia" w:ascii="宋体" w:hAnsi="宋体" w:eastAsia="宋体" w:cs="宋体"/>
          <w:color w:val="auto"/>
          <w:sz w:val="24"/>
          <w:highlight w:val="none"/>
        </w:rPr>
        <w:t xml:space="preserve">有关规定</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遵循平等、自愿、公平和诚实信用的原则，双方就及有关事项协商一致，共同达成如下协议：甲乙双方在平等互利、协商一致的基础上，订立如下条款，以兹共同遵守</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一、项目名称：</w:t>
      </w:r>
      <w:r>
        <w:rPr>
          <w:rFonts w:hint="eastAsia" w:ascii="宋体" w:hAnsi="宋体" w:cs="宋体"/>
          <w:color w:val="auto"/>
          <w:sz w:val="24"/>
          <w:szCs w:val="24"/>
          <w:highlight w:val="none"/>
          <w:lang w:eastAsia="zh-CN"/>
        </w:rPr>
        <w:t xml:space="preserve">盐城市土壤污染状况调查、风险评估、修复效果评估报告评审以及质量控制技术服务</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二、项目地点：</w:t>
      </w:r>
      <w:r>
        <w:rPr>
          <w:rFonts w:hint="eastAsia" w:ascii="宋体" w:hAnsi="宋体" w:eastAsia="宋体" w:cs="宋体"/>
          <w:color w:val="auto"/>
          <w:sz w:val="24"/>
          <w:szCs w:val="24"/>
          <w:highlight w:val="none"/>
        </w:rPr>
        <w:t xml:space="preserve">盐城市境内。</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三、采购范围及内容：</w:t>
      </w:r>
      <w:r>
        <w:rPr>
          <w:rFonts w:hint="eastAsia" w:ascii="宋体" w:hAnsi="宋体" w:cs="宋体"/>
          <w:color w:val="auto"/>
          <w:sz w:val="24"/>
          <w:szCs w:val="24"/>
          <w:highlight w:val="none"/>
          <w:lang w:eastAsia="zh-CN"/>
        </w:rPr>
        <w:t xml:space="preserve">盐城市土壤污染状况调查、风险评估、修复效果评估报告评审以及质量控制技术服务</w:t>
      </w:r>
      <w:r>
        <w:rPr>
          <w:rFonts w:hint="eastAsia" w:ascii="宋体" w:hAnsi="宋体" w:cs="宋体"/>
          <w:color w:val="auto"/>
          <w:sz w:val="24"/>
          <w:szCs w:val="24"/>
          <w:highlight w:val="none"/>
        </w:rPr>
        <w:t xml:space="preserve">，具体内容及要求详见磋商文件、合同规定和投标承诺</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600" w:lineRule="exact"/>
        <w:widowControl w:val="off"/>
        <w:rPr>
          <w:rFonts w:ascii="宋体" w:hAnsi="宋体"/>
          <w:sz w:val="24"/>
        </w:rPr>
      </w:pPr>
      <w:r>
        <w:rPr>
          <w:rFonts w:hint="eastAsia" w:hAnsi="宋体"/>
          <w:b/>
          <w:sz w:val="24"/>
          <w:szCs w:val="24"/>
          <w:lang w:val="en-US" w:eastAsia="zh-CN"/>
        </w:rPr>
        <w:t xml:space="preserve">四</w:t>
      </w:r>
      <w:r>
        <w:rPr>
          <w:rFonts w:hAnsi="宋体"/>
          <w:b/>
          <w:sz w:val="24"/>
          <w:szCs w:val="24"/>
        </w:rPr>
        <w:t xml:space="preserve">、合同金额</w:t>
      </w:r>
      <w:r>
        <w:rPr>
          <w:rFonts w:hint="eastAsia" w:hAnsi="宋体"/>
          <w:b/>
          <w:sz w:val="24"/>
          <w:szCs w:val="24"/>
          <w:lang w:eastAsia="zh-CN"/>
        </w:rPr>
        <w:t xml:space="preserve">：</w:t>
      </w:r>
      <w:r>
        <w:rPr>
          <w:rFonts w:hint="eastAsia" w:ascii="宋体" w:hAnsi="宋体"/>
          <w:bCs/>
          <w:sz w:val="24"/>
        </w:rPr>
        <w:t xml:space="preserve">本项目合同价款为人民币大写：</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u w:val="single"/>
        </w:rPr>
        <w:t xml:space="preserve">       </w:t>
      </w:r>
      <w:r>
        <w:rPr>
          <w:rFonts w:hint="eastAsia" w:ascii="宋体" w:hAnsi="宋体"/>
          <w:bCs/>
          <w:sz w:val="24"/>
        </w:rPr>
        <w:t xml:space="preserve">元）。该</w:t>
      </w:r>
      <w:r>
        <w:rPr>
          <w:rFonts w:hint="eastAsia" w:ascii="宋体" w:hAnsi="宋体" w:eastAsia="宋体" w:cs="宋体"/>
          <w:color w:val="auto"/>
          <w:sz w:val="24"/>
          <w:szCs w:val="24"/>
          <w:highlight w:val="none"/>
        </w:rPr>
        <w:t xml:space="preserve">本合同价是指乙方为完成招标文件中的所有内容，乙方已充分考虑为完成上述内容所必须的全部费用，即主要包括（但不限于）</w:t>
      </w:r>
      <w:r>
        <w:rPr>
          <w:rFonts w:hint="eastAsia" w:ascii="宋体" w:hAnsi="宋体" w:cs="宋体"/>
          <w:color w:val="auto"/>
          <w:sz w:val="24"/>
          <w:szCs w:val="24"/>
          <w:highlight w:val="none"/>
          <w:lang w:eastAsia="zh-CN"/>
        </w:rPr>
        <w:t xml:space="preserve">：</w:t>
      </w:r>
      <w:r>
        <w:rPr>
          <w:rFonts w:hint="eastAsia" w:ascii="宋体" w:hAnsi="宋体"/>
          <w:sz w:val="24"/>
        </w:rPr>
        <w:t xml:space="preserve">本项目内人工费、交通费、水电费、办公设备、用品费、食宿费、试验检测设备使用维护费、材料费、差旅费、运输费、税金、保险、风险、管理费、利润</w:t>
      </w:r>
      <w:r>
        <w:rPr>
          <w:rFonts w:hint="eastAsia" w:ascii="宋体" w:hAnsi="宋体" w:cs="宋体"/>
          <w:color w:val="auto"/>
          <w:sz w:val="24"/>
          <w:szCs w:val="24"/>
          <w:highlight w:val="none"/>
        </w:rPr>
        <w:t xml:space="preserve">及其他一切相关费用等所需的全部费用，凡漏项或少计均视为优惠，甲方不另行增加费用。各类风险和政策性调整等风险已包括在合同价中，最终结算时除合同约定调整外一律不予调整</w:t>
      </w:r>
      <w:r>
        <w:rPr>
          <w:rFonts w:hint="eastAsia" w:ascii="宋体" w:hAnsi="宋体"/>
          <w:sz w:val="24"/>
        </w:rPr>
        <w:t xml:space="preserve">。</w:t>
      </w:r>
      <w:r/>
    </w:p>
    <w:p>
      <w:pPr>
        <w:ind w:firstLine="480"/>
        <w:keepLines w:val="0"/>
        <w:keepNext w:val="0"/>
        <w:pageBreakBefore w:val="0"/>
        <w:spacing w:line="600" w:lineRule="exact"/>
        <w:widowControl w:val="off"/>
        <w:rPr>
          <w:rFonts w:ascii="宋体" w:hAnsi="宋体"/>
          <w:b/>
          <w:bCs/>
          <w:sz w:val="24"/>
        </w:rPr>
      </w:pPr>
      <w:r>
        <w:rPr>
          <w:rFonts w:hint="eastAsia" w:ascii="宋体" w:hAnsi="宋体"/>
          <w:b/>
          <w:sz w:val="24"/>
          <w:lang w:val="en-US" w:eastAsia="zh-CN"/>
        </w:rPr>
        <w:t xml:space="preserve">五</w:t>
      </w:r>
      <w:r>
        <w:rPr>
          <w:rFonts w:ascii="宋体" w:hAnsi="宋体"/>
          <w:b/>
          <w:sz w:val="24"/>
        </w:rPr>
        <w:t xml:space="preserve">、</w:t>
      </w:r>
      <w:r>
        <w:rPr>
          <w:rFonts w:ascii="宋体" w:hAnsi="宋体"/>
          <w:b/>
          <w:bCs/>
          <w:sz w:val="24"/>
        </w:rPr>
        <w:t xml:space="preserve">服务范围</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土壤污染状况调查报告评审技术支撑。针对提交盐城市级评审的土壤污染状况调查报告和提交盐城市级预审的风险评估报告、效果评估报告，开展资料审查，资料审查通过后组织专家评审（初审），并出具初审意见。</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土壤污染状况调查过程质量控制。组织专家参照《建设用地土壤污染状况初步调查监督检查工作指南（试行）》要求，对建设用地土壤污染状况调查、效果评估环节采取必查和抽查的方式进行质量控制，定期对县（市、区）土壤污染状况调查报告质量开展抽查。</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3、土壤和地下水污染防治工作相关专家技术支撑。</w:t>
      </w:r>
      <w:r/>
    </w:p>
    <w:p>
      <w:pPr>
        <w:ind w:firstLine="480"/>
        <w:keepLines w:val="0"/>
        <w:keepNext w:val="0"/>
        <w:pageBreakBefore w:val="0"/>
        <w:spacing w:line="600" w:lineRule="exact"/>
        <w:widowControl w:val="off"/>
        <w:rPr>
          <w:rFonts w:hint="eastAsia" w:ascii="宋体" w:hAnsi="宋体"/>
          <w:b/>
          <w:bCs/>
          <w:sz w:val="24"/>
        </w:rPr>
      </w:pPr>
      <w:r>
        <w:rPr>
          <w:rFonts w:hint="eastAsia" w:ascii="宋体" w:hAnsi="宋体"/>
          <w:b/>
          <w:bCs/>
          <w:sz w:val="24"/>
          <w:lang w:val="en-US" w:eastAsia="zh-CN"/>
        </w:rPr>
        <w:t xml:space="preserve">六、</w:t>
      </w:r>
      <w:r>
        <w:rPr>
          <w:rFonts w:hint="eastAsia" w:ascii="宋体" w:hAnsi="宋体"/>
          <w:b/>
          <w:bCs/>
          <w:sz w:val="24"/>
        </w:rPr>
        <w:t xml:space="preserve">项目内容和技术服务要求</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土壤污染状况调查报告评审技术支撑。根据《省生态环境厅、自然资源厅关于试点开展建设用地土壤污染风险评估、风险管控和修复效果评估报告评审工作的通知》（苏环办〔2019〕309号）等文件要求，针对提交盐城市级评审的土壤污染状况调查报告和提交盐城市级预审的风险评估报告、效果评估报告，派员驻点</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rPr>
        <w:t xml:space="preserve">，组织资料审查，资料具备评审（初审）条件后，组织专家评审（初审），并出具初审意见。</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（1）资料审查</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支撑单位在接到调查报告、风险评估报告或效果评估报告后，相关技术人员在3个工作日内组织资料审查，对存在资料不全、有原则性错误或适用法律法规标准存在重大失误的报告，不具备组织评审条件的，应及时向生态环境部门报告，作出“暂不予安排评审”的决定。对资料审查符合相关技术规范，具备组织评审（初审）条件的，出具初审意见，并列入评审（初审）计划。</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（2）评审（初审）</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列入评审（初审）计划的报告在5个工作日内，协助生态环境主管部门组织召开评审（初审）会，必要时会前组织专家察看现场，落实《省生态环境厅、自然资源厅关于试点开展建设用地土壤污染风险评估、风险管控和修复效果评估报告评审工作的通知》（苏环办〔2019〕309号）等文件相关要求。</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（3）评审相关费用。负责支付参与评审（初审）的专家评审等相关费用。</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（4）备案及上传。配合生态环境主管部门做好评审后相关工作。</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土壤污染状况调查过程质量控制。技术支撑单位按照市生态环境局要求，组织专家参照《建设用地土壤污染状况初步调查监督检查工作指南（试行）》要求，对土壤污染状况调查、修复效果的关键环节（采样分析工作计划、现场采样和实验室检测分析）采取必查和抽查的方式进行质量控制，每半年对全市已评审的土壤污染状况调查报告开展一次质量抽查，并报送抽查结果。</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3、土壤污染防治工作相关专家技术支撑。根据工作需要，派员驻点</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rPr>
        <w:t xml:space="preserve">，并对土壤污染防治工作提供资料核查、现场检查等相关专业技术支撑。</w:t>
      </w:r>
      <w:r/>
    </w:p>
    <w:p>
      <w:pPr>
        <w:ind w:firstLine="480"/>
        <w:keepLines w:val="0"/>
        <w:keepNext w:val="0"/>
        <w:pageBreakBefore w:val="0"/>
        <w:spacing w:line="600" w:lineRule="exact"/>
        <w:widowControl w:val="off"/>
        <w:rPr>
          <w:rFonts w:hint="eastAsia" w:ascii="宋体" w:hAnsi="宋体"/>
          <w:b/>
          <w:bCs/>
          <w:sz w:val="24"/>
        </w:rPr>
      </w:pPr>
      <w:r>
        <w:rPr>
          <w:rFonts w:hint="eastAsia" w:ascii="宋体" w:hAnsi="宋体"/>
          <w:b/>
          <w:bCs/>
          <w:sz w:val="24"/>
          <w:lang w:val="en-US" w:eastAsia="zh-CN"/>
        </w:rPr>
        <w:t xml:space="preserve">七、</w:t>
      </w:r>
      <w:r>
        <w:rPr>
          <w:rFonts w:hint="eastAsia" w:ascii="宋体" w:hAnsi="宋体"/>
          <w:b/>
          <w:bCs/>
          <w:sz w:val="24"/>
        </w:rPr>
        <w:t xml:space="preserve">履约验收</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1、市级生态环境部门依法组织履约验收工作。</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市级生态环境部门在组织履约验收前，将根据项目特点制定验收方案，明确履约验收的时间、方式、程序等内容，并可根据项目特点对服务期内的服务实施情况进行分期考核，综合考核情况和服务效果进行验收。技术支撑单位应根据验收方案内容做好相应配合工作。</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3、对于实际使用人（土壤污染状况调查报告或质控项目等）和市级生态环境部门分离的项目，市级生态环境部门邀请部分实际使用人参与验收。</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4、如有必要，市级生态环境部门邀请参加本项目的其他供应商或第三方专业机构及专家参与验收，相关意见将作为验收书的参考资料。</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市级生态环境部门成立验收小组，按照采购合同的约定对技术支撑单位的履约情况进行验收。验收时，市级生态环境部门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验收合格的项目，市级生态环境部门根据采购合同的约定及时向技术支撑单位支付合同款项、退还履约保证金。验收不合格的项目，市级生态环境部门依法及时处理。采购合同的履行、违约责任和解决争议的方式等适用《</w:t>
      </w:r>
      <w:r>
        <w:rPr>
          <w:rFonts w:hint="eastAsia" w:ascii="宋体" w:hAnsi="宋体" w:eastAsia="宋体" w:cs="宋体"/>
          <w:color w:val="auto"/>
          <w:sz w:val="24"/>
          <w:szCs w:val="24"/>
          <w:highlight w:val="none"/>
        </w:rPr>
        <w:t xml:space="preserve">中华</w:t>
      </w:r>
      <w:r>
        <w:rPr>
          <w:rFonts w:hint="eastAsia" w:ascii="宋体" w:hAnsi="宋体" w:eastAsia="宋体" w:cs="宋体"/>
          <w:color w:val="auto"/>
          <w:sz w:val="24"/>
          <w:szCs w:val="24"/>
          <w:highlight w:val="none"/>
        </w:rPr>
        <w:t xml:space="preserve">人民</w:t>
      </w:r>
      <w:r>
        <w:rPr>
          <w:rFonts w:hint="eastAsia" w:ascii="宋体" w:hAnsi="宋体" w:eastAsia="宋体" w:cs="宋体"/>
          <w:color w:val="auto"/>
          <w:sz w:val="24"/>
          <w:szCs w:val="24"/>
          <w:highlight w:val="none"/>
        </w:rPr>
        <w:t xml:space="preserve">共和国</w:t>
      </w:r>
      <w:r>
        <w:rPr>
          <w:rFonts w:hint="eastAsia" w:ascii="宋体" w:hAnsi="宋体" w:eastAsia="宋体" w:cs="宋体"/>
          <w:color w:val="auto"/>
          <w:sz w:val="24"/>
          <w:szCs w:val="24"/>
          <w:highlight w:val="none"/>
        </w:rPr>
        <w:t xml:space="preserve">民法典》。技术支撑单位在履约过程中有政府采购法律法规规定的违法违规情形的，市级生态环境部门将及时报告本级财政部门。</w:t>
      </w:r>
      <w:r/>
    </w:p>
    <w:p>
      <w:pPr>
        <w:ind w:firstLine="480"/>
        <w:keepLines w:val="0"/>
        <w:keepNext w:val="0"/>
        <w:pageBreakBefore w:val="0"/>
        <w:spacing w:line="600" w:lineRule="exact"/>
        <w:widowControl w:val="off"/>
        <w:rPr>
          <w:rFonts w:hint="eastAsia" w:ascii="宋体" w:hAnsi="宋体"/>
          <w:b/>
          <w:bCs/>
          <w:sz w:val="24"/>
          <w:lang w:val="en-US" w:eastAsia="zh-CN"/>
        </w:rPr>
      </w:pPr>
      <w:r>
        <w:rPr>
          <w:rFonts w:hint="eastAsia" w:ascii="宋体" w:hAnsi="宋体"/>
          <w:b/>
          <w:bCs/>
          <w:sz w:val="24"/>
          <w:lang w:val="en-US" w:eastAsia="zh-CN"/>
        </w:rPr>
        <w:t xml:space="preserve">八、服务成果</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市级评审，经审查后的报告专家评审通过率不得低于80%；市级预审后，经审查后报告报省级评审，专家评审通过率不得低于80%；每季度提交县（市、区）报告抽查情况，年底提交年度土壤污染状况调查质量监督检查情况报告。</w:t>
      </w:r>
      <w:r/>
    </w:p>
    <w:p>
      <w:pPr>
        <w:numPr>
          <w:ilvl w:val="0"/>
          <w:numId w:val="0"/>
        </w:numPr>
        <w:ind w:firstLine="482"/>
        <w:keepLines w:val="0"/>
        <w:keepNext w:val="0"/>
        <w:pageBreakBefore w:val="0"/>
        <w:spacing w:line="600" w:lineRule="exact"/>
        <w:widowControl w:val="off"/>
        <w:rPr>
          <w:rFonts w:hint="eastAsia" w:ascii="宋体" w:hAnsi="宋体" w:eastAsia="宋体" w:cs="宋体"/>
          <w:b/>
          <w:bCs/>
          <w:color w:val="auto"/>
          <w:sz w:val="24"/>
          <w:szCs w:val="24"/>
          <w:highlight w:val="none"/>
        </w:rPr>
      </w:pPr>
      <w:r>
        <w:rPr>
          <w:rFonts w:hint="eastAsia" w:ascii="宋体" w:hAnsi="宋体"/>
          <w:b/>
          <w:bCs/>
          <w:sz w:val="24"/>
          <w:lang w:val="en-US" w:eastAsia="zh-CN"/>
        </w:rPr>
        <w:t xml:space="preserve">九</w:t>
      </w:r>
      <w:r>
        <w:rPr>
          <w:rFonts w:hint="eastAsia" w:ascii="宋体" w:hAnsi="宋体"/>
          <w:b/>
          <w:bCs/>
          <w:sz w:val="24"/>
        </w:rPr>
        <w:t xml:space="preserve">、</w:t>
      </w:r>
      <w:r>
        <w:rPr>
          <w:rFonts w:hint="eastAsia" w:ascii="宋体" w:hAnsi="宋体" w:eastAsia="宋体" w:cs="宋体"/>
          <w:b/>
          <w:bCs/>
          <w:color w:val="auto"/>
          <w:sz w:val="24"/>
          <w:szCs w:val="24"/>
          <w:highlight w:val="none"/>
          <w:lang w:val="en-US" w:eastAsia="zh-CN"/>
        </w:rPr>
        <w:t xml:space="preserve">知识产权及保密责任</w:t>
      </w:r>
      <w:r/>
    </w:p>
    <w:p>
      <w:pPr>
        <w:ind w:firstLine="480"/>
        <w:jc w:val="both"/>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乙方应保证甲方在使用其交付物、服务及其任何部分时不受到第三方关于侵犯专利权、商标权或著作权等知识产权及其他权利的指控。任何第三方如果提出侵权指控，均由乙方自行处理并承担可能发生的一切法律责任和费用。</w:t>
      </w:r>
      <w:r/>
    </w:p>
    <w:p>
      <w:pPr>
        <w:ind w:firstLine="480"/>
        <w:jc w:val="both"/>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乙方及其人员因履行本项目事务所产生的各项成果或利用因本合同履行而获知的数据、信息、资料、报告等而产生的任何作品，其知识产权和其他权益均归甲方单方所有。未经甲方事先书面许可，乙方及其人员不得为本合同约定事务之外的任何目的、以任何形式自行使用、擅自许可第三方使用或向第三方透露部分或全部信息，存在前述任意情况时均视为乙方侵权并应承担各项法律责任。</w:t>
      </w:r>
      <w:r/>
    </w:p>
    <w:p>
      <w:pPr>
        <w:ind w:firstLine="482"/>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保密责任：乙方就本合同履行过程中所形成或获知的各类信息及书面和电子材料（包括但不限于本合同；本项目全部数据、文件资料、各类报告及方案等）均有保密义务（有真实有效的证据证明该信息属于公知信息或者事先得到需方书面授权的除外），该保密义务在本合同解除或终止后继续有效。乙方因违反保密义务而给项目或甲方造成损失的，应承担因此导致的直接和间接经济损失及各类法律责任。</w:t>
      </w:r>
      <w:r/>
    </w:p>
    <w:p>
      <w:pPr>
        <w:ind w:firstLine="482"/>
        <w:spacing w:line="440" w:lineRule="exact"/>
        <w:rPr>
          <w:rFonts w:hint="eastAsia" w:ascii="宋体" w:hAnsi="宋体"/>
          <w:b/>
          <w:bCs/>
          <w:sz w:val="24"/>
        </w:rPr>
      </w:pPr>
      <w:r>
        <w:rPr>
          <w:rFonts w:hint="eastAsia" w:ascii="宋体" w:hAnsi="宋体"/>
          <w:b/>
          <w:bCs/>
          <w:sz w:val="24"/>
          <w:lang w:val="en-US" w:eastAsia="zh-CN"/>
        </w:rPr>
        <w:t xml:space="preserve">十</w:t>
      </w:r>
      <w:r>
        <w:rPr>
          <w:rFonts w:hint="eastAsia" w:ascii="宋体" w:hAnsi="宋体"/>
          <w:b/>
          <w:bCs/>
          <w:sz w:val="24"/>
        </w:rPr>
        <w:t xml:space="preserve">、转包或分包</w:t>
      </w:r>
      <w:r/>
    </w:p>
    <w:p>
      <w:pPr>
        <w:ind w:firstLine="482"/>
        <w:keepLines w:val="0"/>
        <w:keepNext w:val="0"/>
        <w:pageBreakBefore w:val="0"/>
        <w:spacing w:line="600" w:lineRule="exact"/>
        <w:widowControl w:val="off"/>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本合同范围的服务，应由乙方直接供应，不得转让他人供应；</w:t>
      </w:r>
      <w:r/>
    </w:p>
    <w:p>
      <w:pPr>
        <w:ind w:firstLine="482"/>
        <w:keepLines w:val="0"/>
        <w:keepNext w:val="0"/>
        <w:pageBreakBefore w:val="0"/>
        <w:spacing w:line="600" w:lineRule="exact"/>
        <w:widowControl w:val="off"/>
        <w:rPr>
          <w:rFonts w:hint="eastAsia" w:ascii="宋体" w:hAnsi="宋体"/>
          <w:sz w:val="24"/>
        </w:rPr>
      </w:pP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除非得到甲方的书面同意，乙方不得部分分包给他人供应。</w:t>
      </w:r>
      <w:r/>
    </w:p>
    <w:p>
      <w:pPr>
        <w:ind w:firstLine="482"/>
        <w:keepLines w:val="0"/>
        <w:keepNext w:val="0"/>
        <w:pageBreakBefore w:val="0"/>
        <w:spacing w:line="600" w:lineRule="exact"/>
        <w:widowControl w:val="off"/>
        <w:rPr>
          <w:rFonts w:hint="eastAsia" w:ascii="宋体" w:hAnsi="宋体"/>
          <w:sz w:val="24"/>
        </w:rPr>
      </w:pPr>
      <w:r>
        <w:rPr>
          <w:rFonts w:hint="eastAsia" w:ascii="宋体" w:hAnsi="宋体"/>
          <w:sz w:val="24"/>
        </w:rPr>
        <w:t xml:space="preserve">3</w:t>
      </w:r>
      <w:r>
        <w:rPr>
          <w:rFonts w:hint="eastAsia" w:ascii="宋体" w:hAnsi="宋体"/>
          <w:sz w:val="24"/>
          <w:lang w:eastAsia="zh-CN"/>
        </w:rPr>
        <w:t xml:space="preserve">、</w:t>
      </w:r>
      <w:r>
        <w:rPr>
          <w:rFonts w:hint="eastAsia" w:ascii="宋体" w:hAnsi="宋体"/>
          <w:sz w:val="24"/>
        </w:rPr>
        <w:t xml:space="preserve">如有转让和未经甲方同意的分包行为，甲方有权给予终止合同。</w:t>
      </w:r>
      <w:r/>
    </w:p>
    <w:p>
      <w:pPr>
        <w:ind w:firstLine="482"/>
        <w:spacing w:line="440" w:lineRule="exact"/>
        <w:rPr>
          <w:rFonts w:hint="default" w:ascii="宋体" w:hAnsi="宋体" w:eastAsia="宋体"/>
          <w:b/>
          <w:bCs/>
          <w:sz w:val="24"/>
          <w:lang w:val="en-US" w:eastAsia="zh-CN"/>
        </w:rPr>
      </w:pPr>
      <w:r>
        <w:rPr>
          <w:rFonts w:hint="eastAsia" w:ascii="宋体" w:hAnsi="宋体"/>
          <w:b/>
          <w:bCs/>
          <w:sz w:val="24"/>
          <w:lang w:val="en-US" w:eastAsia="zh-CN"/>
        </w:rPr>
        <w:t xml:space="preserve">十一</w:t>
      </w:r>
      <w:r>
        <w:rPr>
          <w:rFonts w:hint="eastAsia" w:ascii="宋体" w:hAnsi="宋体"/>
          <w:b/>
          <w:bCs/>
          <w:sz w:val="24"/>
        </w:rPr>
        <w:t xml:space="preserve">、</w:t>
      </w:r>
      <w:r>
        <w:rPr>
          <w:rFonts w:hint="eastAsia" w:ascii="宋体" w:hAnsi="宋体"/>
          <w:b/>
          <w:bCs/>
          <w:sz w:val="24"/>
          <w:lang w:val="en-US" w:eastAsia="zh-CN"/>
        </w:rPr>
        <w:t xml:space="preserve">付款方式</w:t>
      </w:r>
      <w:r/>
    </w:p>
    <w:p>
      <w:pPr>
        <w:ind w:firstLine="482"/>
        <w:keepLines w:val="0"/>
        <w:keepNext w:val="0"/>
        <w:pageBreakBefore w:val="0"/>
        <w:spacing w:line="600" w:lineRule="exact"/>
        <w:widowControl w:val="off"/>
        <w:rPr>
          <w:rFonts w:hint="eastAsia" w:ascii="宋体" w:hAnsi="宋体"/>
          <w:sz w:val="24"/>
        </w:rPr>
      </w:pPr>
      <w:r>
        <w:rPr>
          <w:rFonts w:hint="eastAsia" w:ascii="宋体" w:hAnsi="宋体"/>
          <w:sz w:val="24"/>
          <w:lang w:val="en-US" w:eastAsia="zh-CN"/>
        </w:rPr>
        <w:t xml:space="preserve">1、</w:t>
      </w:r>
      <w:r>
        <w:rPr>
          <w:rFonts w:hint="eastAsia" w:ascii="宋体" w:hAnsi="宋体"/>
          <w:sz w:val="24"/>
        </w:rPr>
        <w:t xml:space="preserve">合同签订后，甲方收到乙方发票后10个工作日内支付合同价款的30%作为预付款；</w:t>
      </w:r>
      <w:r/>
    </w:p>
    <w:p>
      <w:pPr>
        <w:ind w:firstLine="482"/>
        <w:keepLines w:val="0"/>
        <w:keepNext w:val="0"/>
        <w:pageBreakBefore w:val="0"/>
        <w:spacing w:line="600" w:lineRule="exact"/>
        <w:widowControl w:val="off"/>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半年报告抽查情况上报后，支付合同价款的30%；</w:t>
      </w:r>
      <w:r/>
    </w:p>
    <w:p>
      <w:pPr>
        <w:ind w:firstLine="482"/>
        <w:keepLines w:val="0"/>
        <w:keepNext w:val="0"/>
        <w:pageBreakBefore w:val="0"/>
        <w:spacing w:line="600" w:lineRule="exact"/>
        <w:widowControl w:val="off"/>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年底提交年度土壤污染状况调查质量监督检查情况报告和报告抽查情况后，结清余款。报告省、市评审通过率每少1个百分点，扣减合同总额的1%；未达省、市相关目标任务及考核要求的，扣减合同总额的5%。</w:t>
      </w:r>
      <w:r/>
    </w:p>
    <w:p>
      <w:pPr>
        <w:ind w:firstLine="482"/>
        <w:keepLines w:val="0"/>
        <w:keepNext w:val="0"/>
        <w:pageBreakBefore w:val="0"/>
        <w:spacing w:line="600" w:lineRule="exact"/>
        <w:widowControl w:val="off"/>
        <w:rPr>
          <w:rFonts w:hint="eastAsia" w:ascii="宋体" w:hAnsi="宋体"/>
          <w:sz w:val="24"/>
        </w:rPr>
      </w:pPr>
      <w:r>
        <w:rPr>
          <w:rFonts w:hint="eastAsia" w:ascii="宋体" w:hAnsi="宋体"/>
          <w:sz w:val="24"/>
        </w:rPr>
        <w:t xml:space="preserve">注：每次申请付款前，乙方必须向甲方提供有效发票；因乙方未能及时提供发票而导致付款延误的，责任由乙方承担。</w:t>
      </w:r>
      <w:r/>
    </w:p>
    <w:p>
      <w:pPr>
        <w:ind w:firstLine="482"/>
        <w:keepLines w:val="0"/>
        <w:keepNext w:val="0"/>
        <w:pageBreakBefore w:val="0"/>
        <w:spacing w:line="6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、结算方式</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本项目采用“固定总价”合同，合同实施过程中中标（合同）总价一律不予调整（除甲方调整服务内容或合同约定调整外）。</w:t>
      </w:r>
      <w:r/>
    </w:p>
    <w:p>
      <w:pPr>
        <w:ind w:firstLine="480"/>
        <w:keepLines w:val="0"/>
        <w:keepNext w:val="0"/>
        <w:pageBreakBefore w:val="0"/>
        <w:spacing w:line="600" w:lineRule="exact"/>
        <w:widowControl w:val="off"/>
        <w:rPr>
          <w:rFonts w:hint="eastAsia"/>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结算价=中标（合同）总价±甲方调整服务内容或合同约定调整价款。</w:t>
      </w:r>
      <w:r/>
    </w:p>
    <w:p>
      <w:pPr>
        <w:ind w:firstLine="482"/>
        <w:keepLines w:val="0"/>
        <w:keepNext w:val="0"/>
        <w:pageBreakBefore w:val="0"/>
        <w:spacing w:line="6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、各方当事人的义务或协作事项及承担的责任</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甲方责任</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（1）甲方要求乙方比本合同规定时间提前交付最终成果时，甲方应支付赶工费，具体金额由甲、乙双方另议。</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（2）甲方应为乙方的工作人员提供工作、生活及交通等方便条件，其费用由乙方承担。</w:t>
      </w:r>
      <w:r/>
    </w:p>
    <w:p>
      <w:pPr>
        <w:ind w:firstLine="480"/>
        <w:jc w:val="both"/>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为保证乙方有效进行</w:t>
      </w:r>
      <w:r>
        <w:rPr>
          <w:rFonts w:hint="eastAsia" w:ascii="宋体" w:hAnsi="宋体" w:cs="宋体"/>
          <w:color w:val="auto"/>
          <w:sz w:val="24"/>
          <w:szCs w:val="24"/>
          <w:highlight w:val="none"/>
          <w:lang w:eastAsia="zh-CN"/>
        </w:rPr>
        <w:t xml:space="preserve">盐城市土壤污染状况调查、风险评估、修复效果评估报告评审以及质量控制技术服务</w:t>
      </w:r>
      <w:r>
        <w:rPr>
          <w:rFonts w:hint="eastAsia" w:ascii="宋体" w:hAnsi="宋体" w:eastAsia="宋体" w:cs="宋体"/>
          <w:color w:val="auto"/>
          <w:sz w:val="24"/>
          <w:szCs w:val="24"/>
          <w:highlight w:val="none"/>
        </w:rPr>
        <w:t xml:space="preserve">工作，甲方应在能力范围内就必要事务对乙方予以配合、提供必要的资料和内容。乙方就需要甲方协作的事项或需要甲方提供的资料、内容，应提前至少7个工作日向甲方提出书面申请并列明具体事宜、时间等要求，以便甲方予以审查判断及对于需要协助事务或提供的资料和内容进行安排、准备。</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乙方责任</w:t>
      </w:r>
      <w:r/>
    </w:p>
    <w:p>
      <w:pPr>
        <w:pStyle w:val="998"/>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乙方应组织专业的工作团队，并按照约定时间节点开展工作。工作团队要任命并保持一名经验丰富的项目负责人，负责与甲方之间的联系以及工作安排。本项目团队在工作期间应保持稳定和连续，除甲方要求外乙方原则上不能进行项目人员变动。如乙方需对项目人员进行变动的，应提前书面告知甲方并取</w:t>
      </w:r>
      <w:r>
        <w:rPr>
          <w:rFonts w:hint="eastAsia" w:ascii="宋体" w:hAnsi="宋体" w:eastAsia="宋体" w:cs="宋体"/>
          <w:color w:val="auto"/>
          <w:sz w:val="24"/>
          <w:szCs w:val="24"/>
          <w:highlight w:val="none"/>
          <w:lang w:val="en-US" w:eastAsia="zh-CN" w:bidi="ar-SA"/>
        </w:rPr>
        <w:t xml:space="preserve">得甲方同意，乙方应及时安排符合约定要求的员工接替被变动人员，在征得甲方意见时，乙方应将接替人员的信息（包括但不限于：姓名、性别、年龄、联系方式、资质及专业经历情况、负责的项目事宜等）及资质证书等均提供给甲方，甲方如同意更换人员的，由甲方对接替人员前述信息资料及资质证书予以书面备案。出现项目人员变动情形的，由乙方保障该人员变动不影响项目开展的进度及质量，如因人员变动导致项目或甲方出现逾期、质量不符合约定及甲方要求等情况的，由乙方负责立即弥补和处理且应承担因此产生的费用增项、损失或违约等其他各项责任。乙方指定由</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作为项目负责人并以其下列联系信息作为乙方联系方式：</w:t>
      </w:r>
      <w:r>
        <w:rPr>
          <w:rFonts w:hint="eastAsia" w:ascii="宋体" w:hAnsi="宋体" w:eastAsia="宋体" w:cs="宋体"/>
          <w:color w:val="auto"/>
          <w:sz w:val="24"/>
          <w:szCs w:val="24"/>
          <w:highlight w:val="none"/>
          <w:u w:val="single"/>
          <w:lang w:val="en-US" w:eastAsia="zh-CN" w:bidi="ar-SA"/>
        </w:rPr>
        <w:t xml:space="preserve">电话          、邮箱          、微信号          、联系地址          </w:t>
      </w:r>
      <w:r>
        <w:rPr>
          <w:rFonts w:hint="eastAsia" w:ascii="宋体" w:hAnsi="宋体" w:eastAsia="宋体" w:cs="宋体"/>
          <w:color w:val="auto"/>
          <w:sz w:val="24"/>
          <w:szCs w:val="24"/>
          <w:highlight w:val="none"/>
          <w:lang w:val="en-US" w:eastAsia="zh-CN" w:bidi="ar-SA"/>
        </w:rPr>
        <w:t xml:space="preserve">。乙方确认该项目负责人已获得授权且其作出的意见及决定均可视为乙方意见，前述联系信息均为不可改变的联系方式：以邮件方式寄出的文书，一经寄出在三日内均视为已经收到；用手机短信、微信、电子邮件发送的信息，一经发出均视为立即收到。如双方通过诉讼方式解决争议的，项目负责人的电话及收件地址即为乙方确认的法院送达方式，如项目负责人或其联系信息发生改变的，乙方均应及时以书面方式告知甲方，否则引起的不利后果均由乙方承担。</w:t>
      </w:r>
      <w:r/>
    </w:p>
    <w:p>
      <w:pPr>
        <w:pStyle w:val="998"/>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乙方应依照本合同（含组成部分）的约定及甲方的要求开展和完成各项目事务，并对完成进度、质量及各方全过程安全承担全部负责。乙方应保障甲方就本合同履行情况的监督权及知情权，甲方如就项目的各项事务提出异议或要求的，乙方应及时回复甲方并依要求制作书面答复意见或对相关工作进行调整、整改等。</w:t>
      </w:r>
      <w:r/>
    </w:p>
    <w:p>
      <w:pPr>
        <w:pStyle w:val="998"/>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乙方在履行本合同过程中取得、制作的各类信息、记录、报告等资料均应分类整理、归档并妥善管理，对于甲方要求提供或应提交给甲方的材料应及时交付。在本合同解除或履行完毕之日乙方将前述材料全部交付给甲方，所有相关资料不得外泄。</w:t>
      </w:r>
      <w:r/>
    </w:p>
    <w:p>
      <w:pPr>
        <w:pStyle w:val="998"/>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本合同约定的项目事务均应由乙方及其约定的具备相应技术资质及能力的人员完成，合同履行过程中乙方及其人员不得邀请、放任、默许任意第三方（含单位和个人）以有偿或无偿方式参与项目工作及事务，乙方也不得擅自将项目的部分或全部分包、转包、委托给任意第三方。出现前述情形时，由乙方自行处理和承担相应各项事务和责任，同时甲方均有权单方解除本合同并要求乙方退还已付合同价款、承担费用增项及损失等。</w:t>
      </w:r>
      <w:r/>
    </w:p>
    <w:p>
      <w:pPr>
        <w:pStyle w:val="998"/>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（5）乙方出现下列任一情形时，甲方均有权单方解除本合同、不继续履行付款义务并要求乙方给付费用增项、损失及违约金等：</w:t>
      </w:r>
      <w:r/>
    </w:p>
    <w:p>
      <w:pPr>
        <w:pStyle w:val="998"/>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①未依照约定开展项目服务累计出现3次及以上的；</w:t>
      </w:r>
      <w:r/>
    </w:p>
    <w:p>
      <w:pPr>
        <w:pStyle w:val="998"/>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②</w:t>
      </w:r>
      <w:r>
        <w:rPr>
          <w:rFonts w:hint="eastAsia" w:cs="宋体"/>
          <w:color w:val="auto"/>
          <w:sz w:val="24"/>
          <w:szCs w:val="24"/>
          <w:highlight w:val="none"/>
          <w:lang w:val="en-US" w:eastAsia="zh-CN" w:bidi="ar-SA"/>
        </w:rPr>
        <w:t xml:space="preserve">交付成果</w:t>
      </w:r>
      <w:r>
        <w:rPr>
          <w:rFonts w:hint="eastAsia" w:ascii="宋体" w:hAnsi="宋体" w:eastAsia="宋体" w:cs="宋体"/>
          <w:color w:val="auto"/>
          <w:sz w:val="24"/>
          <w:szCs w:val="24"/>
          <w:highlight w:val="none"/>
          <w:lang w:val="en-US" w:eastAsia="zh-CN" w:bidi="ar-SA"/>
        </w:rPr>
        <w:t xml:space="preserve">不实或不完整的；</w:t>
      </w:r>
      <w:r/>
    </w:p>
    <w:p>
      <w:pPr>
        <w:pStyle w:val="998"/>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③全部或部分成果经审核后未通过，修改后3次后仍未通过或不依照约定及甲方要求修改的；</w:t>
      </w:r>
      <w:r/>
    </w:p>
    <w:p>
      <w:pPr>
        <w:pStyle w:val="998"/>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④如实告知情况，提供虚假材料的；</w:t>
      </w:r>
      <w:r/>
    </w:p>
    <w:p>
      <w:pPr>
        <w:pStyle w:val="998"/>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⑤乙方及其人员存在违反知识产权、保密条款的约定；干扰甲方工作及项目事务开展；损害甲方及项目利益（含声誉、经济利益等）之任一行为的；</w:t>
      </w:r>
      <w:r/>
    </w:p>
    <w:p>
      <w:pPr>
        <w:pStyle w:val="998"/>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⑥因乙方原因导致甲方涉及纠纷或承担责任的。</w:t>
      </w:r>
      <w:r/>
    </w:p>
    <w:p>
      <w:pPr>
        <w:ind w:firstLine="482"/>
        <w:keepLines w:val="0"/>
        <w:keepNext w:val="0"/>
        <w:pageBreakBefore w:val="0"/>
        <w:spacing w:line="6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十</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履约</w:t>
      </w:r>
      <w:r>
        <w:rPr>
          <w:rFonts w:hint="eastAsia" w:ascii="宋体" w:hAnsi="宋体" w:eastAsia="宋体" w:cs="宋体"/>
          <w:b/>
          <w:bCs/>
          <w:color w:val="auto"/>
          <w:sz w:val="24"/>
          <w:szCs w:val="24"/>
          <w:highlight w:val="none"/>
        </w:rPr>
        <w:t xml:space="preserve">验收的标准和方法</w:t>
      </w:r>
      <w:r/>
    </w:p>
    <w:p>
      <w:pPr>
        <w:pStyle w:val="998"/>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符合本合同（含组成部分）的约定，保障在</w:t>
      </w:r>
      <w:r>
        <w:rPr>
          <w:rFonts w:hint="eastAsia" w:cs="宋体"/>
          <w:color w:val="auto"/>
          <w:sz w:val="24"/>
          <w:szCs w:val="24"/>
          <w:highlight w:val="none"/>
          <w:lang w:val="en-US" w:eastAsia="zh-CN" w:bidi="ar-SA"/>
        </w:rPr>
        <w:t xml:space="preserve">合同履约</w:t>
      </w:r>
      <w:r>
        <w:rPr>
          <w:rFonts w:hint="eastAsia" w:ascii="宋体" w:hAnsi="宋体" w:eastAsia="宋体" w:cs="宋体"/>
          <w:color w:val="auto"/>
          <w:sz w:val="24"/>
          <w:szCs w:val="24"/>
          <w:highlight w:val="none"/>
          <w:lang w:val="en-US" w:eastAsia="zh-CN" w:bidi="ar-SA"/>
        </w:rPr>
        <w:t xml:space="preserve">期限内完成全部项目事务、均通过盐城市生态环境局项目验收且配合完成</w:t>
      </w:r>
      <w:r>
        <w:rPr>
          <w:rFonts w:hint="eastAsia" w:ascii="宋体" w:hAnsi="宋体" w:cs="宋体"/>
          <w:color w:val="auto"/>
          <w:sz w:val="24"/>
          <w:szCs w:val="24"/>
          <w:highlight w:val="none"/>
          <w:lang w:eastAsia="zh-CN"/>
        </w:rPr>
        <w:t xml:space="preserve">盐城市土壤污染状况调查、风险评估、修复效果评估报告评审以及质量控制技术服务</w:t>
      </w:r>
      <w:r>
        <w:rPr>
          <w:rFonts w:hint="eastAsia" w:ascii="宋体" w:hAnsi="宋体" w:eastAsia="宋体" w:cs="宋体"/>
          <w:color w:val="auto"/>
          <w:sz w:val="24"/>
          <w:szCs w:val="24"/>
          <w:highlight w:val="none"/>
          <w:lang w:val="en-US" w:eastAsia="zh-CN" w:bidi="ar-SA"/>
        </w:rPr>
        <w:t xml:space="preserve">以及其他相关工作，以及保障通过上级部门的确认。</w:t>
      </w:r>
      <w:r/>
    </w:p>
    <w:p>
      <w:pPr>
        <w:pStyle w:val="998"/>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乙方要充分运用信息化手段，强化系统管理，实现全过程留痕，乙方需接受</w:t>
      </w:r>
      <w:r>
        <w:rPr>
          <w:rFonts w:hint="eastAsia"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安排的</w:t>
      </w:r>
      <w:r>
        <w:rPr>
          <w:rFonts w:hint="eastAsia" w:cs="宋体"/>
          <w:color w:val="auto"/>
          <w:sz w:val="24"/>
          <w:szCs w:val="24"/>
          <w:highlight w:val="none"/>
          <w:lang w:val="en-US" w:eastAsia="zh-CN" w:bidi="ar-SA"/>
        </w:rPr>
        <w:t xml:space="preserve">与项目有关的服务</w:t>
      </w:r>
      <w:r>
        <w:rPr>
          <w:rFonts w:hint="eastAsia" w:ascii="宋体" w:hAnsi="宋体" w:eastAsia="宋体" w:cs="宋体"/>
          <w:color w:val="auto"/>
          <w:sz w:val="24"/>
          <w:szCs w:val="24"/>
          <w:highlight w:val="none"/>
          <w:lang w:val="en-US" w:eastAsia="zh-CN" w:bidi="ar-SA"/>
        </w:rPr>
        <w:t xml:space="preserve">工作，对于不符合要求的实施过程或结果，需重新开展。</w:t>
      </w:r>
      <w:r/>
    </w:p>
    <w:p>
      <w:pPr>
        <w:pStyle w:val="998"/>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在合同期内发现提供的材料、编制的报告、提供的服务等有缺陷或实际情况改变的，乙方应当负责重新调整或采取补救措施、提供顾问式咨询等措施，至满足甲方需求止，该服务费用已包含于约定合同价款内。</w:t>
      </w:r>
      <w:r/>
    </w:p>
    <w:p>
      <w:pPr>
        <w:ind w:firstLine="482"/>
        <w:keepLines w:val="0"/>
        <w:keepNext w:val="0"/>
        <w:pageBreakBefore w:val="0"/>
        <w:spacing w:line="6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、违约责任</w:t>
      </w:r>
      <w:r/>
    </w:p>
    <w:p>
      <w:pPr>
        <w:pStyle w:val="998"/>
        <w:ind w:firstLine="480"/>
        <w:keepLines w:val="0"/>
        <w:keepNext w:val="0"/>
        <w:pageBreakBefore w:val="0"/>
        <w:spacing w:line="560" w:lineRule="exact"/>
        <w:widowControl w:val="off"/>
        <w:rPr>
          <w:color w:val="auto"/>
          <w:sz w:val="24"/>
          <w:szCs w:val="24"/>
          <w:highlight w:val="none"/>
        </w:rPr>
      </w:pPr>
      <w:r>
        <w:rPr>
          <w:rFonts w:hint="eastAsia"/>
          <w:color w:val="auto"/>
          <w:sz w:val="24"/>
          <w:szCs w:val="24"/>
          <w:highlight w:val="none"/>
          <w:lang w:val="en-US" w:eastAsia="zh-CN"/>
        </w:rPr>
        <w:t xml:space="preserve">1、</w:t>
      </w:r>
      <w:r>
        <w:rPr>
          <w:rFonts w:hint="eastAsia"/>
          <w:color w:val="auto"/>
          <w:sz w:val="24"/>
          <w:szCs w:val="24"/>
          <w:highlight w:val="none"/>
        </w:rPr>
        <w:t xml:space="preserve">项目实施期间，乙方应该确保按照要求提供成果，如因工作失误等原因延误工作进度的，乙方按合同总价总额每日千分之六向甲方支付违约金；逾期超过约定日期30个工作日不能交付的，甲方可解除合同；如提供的成果未能通过</w:t>
      </w:r>
      <w:r>
        <w:rPr>
          <w:rFonts w:hint="eastAsia"/>
          <w:color w:val="auto"/>
          <w:sz w:val="24"/>
          <w:szCs w:val="24"/>
          <w:highlight w:val="none"/>
          <w:lang w:eastAsia="zh-CN"/>
        </w:rPr>
        <w:t xml:space="preserve">甲方验收</w:t>
      </w:r>
      <w:r>
        <w:rPr>
          <w:rFonts w:hint="eastAsia"/>
          <w:color w:val="auto"/>
          <w:sz w:val="24"/>
          <w:szCs w:val="24"/>
          <w:highlight w:val="none"/>
        </w:rPr>
        <w:t xml:space="preserve">，乙方需按中标价格的百分之三十向甲方支付违约金；乙方提供虚假材料，甲方有权终止合同，乙方需按合同总额的百分之十向甲方支付违约金。</w:t>
      </w:r>
      <w:r/>
    </w:p>
    <w:p>
      <w:pPr>
        <w:pStyle w:val="998"/>
        <w:ind w:firstLine="480"/>
        <w:keepLines w:val="0"/>
        <w:keepNext w:val="0"/>
        <w:pageBreakBefore w:val="0"/>
        <w:spacing w:line="560" w:lineRule="exact"/>
        <w:widowControl w:val="off"/>
        <w:rPr>
          <w:color w:val="auto"/>
          <w:sz w:val="24"/>
          <w:szCs w:val="24"/>
          <w:highlight w:val="none"/>
        </w:rPr>
      </w:pPr>
      <w:r>
        <w:rPr>
          <w:rFonts w:hint="eastAsia"/>
          <w:color w:val="auto"/>
          <w:sz w:val="24"/>
          <w:szCs w:val="24"/>
          <w:highlight w:val="none"/>
          <w:lang w:val="en-US" w:eastAsia="zh-CN"/>
        </w:rPr>
        <w:t xml:space="preserve">2、</w:t>
      </w:r>
      <w:r>
        <w:rPr>
          <w:rFonts w:hint="eastAsia"/>
          <w:color w:val="auto"/>
          <w:sz w:val="24"/>
          <w:szCs w:val="24"/>
          <w:highlight w:val="none"/>
        </w:rPr>
        <w:t xml:space="preserve">除本合同已约定的违约情形外，当乙方出现下列任一情况时，甲方除有权选择适用上一条内约定的一项或多项违约责任追究方式外，还有权单方解除本合同：</w:t>
      </w:r>
      <w:r/>
    </w:p>
    <w:p>
      <w:pPr>
        <w:pStyle w:val="998"/>
        <w:ind w:firstLine="480"/>
        <w:keepLines w:val="0"/>
        <w:keepNext w:val="0"/>
        <w:pageBreakBefore w:val="0"/>
        <w:spacing w:line="560" w:lineRule="exact"/>
        <w:widowControl w:val="off"/>
        <w:rPr>
          <w:color w:val="auto"/>
          <w:sz w:val="24"/>
          <w:szCs w:val="24"/>
          <w:highlight w:val="none"/>
        </w:rPr>
      </w:pPr>
      <w:r>
        <w:rPr>
          <w:rFonts w:hint="eastAsia"/>
          <w:color w:val="auto"/>
          <w:sz w:val="24"/>
          <w:szCs w:val="24"/>
          <w:highlight w:val="none"/>
        </w:rPr>
        <w:t xml:space="preserve">（1）乙方未完成/未按时完成服务事务；</w:t>
      </w:r>
      <w:r/>
    </w:p>
    <w:p>
      <w:pPr>
        <w:pStyle w:val="998"/>
        <w:ind w:firstLine="480"/>
        <w:keepLines w:val="0"/>
        <w:keepNext w:val="0"/>
        <w:pageBreakBefore w:val="0"/>
        <w:spacing w:line="560" w:lineRule="exact"/>
        <w:widowControl w:val="off"/>
        <w:rPr>
          <w:color w:val="auto"/>
          <w:sz w:val="24"/>
          <w:szCs w:val="24"/>
          <w:highlight w:val="none"/>
        </w:rPr>
      </w:pPr>
      <w:r>
        <w:rPr>
          <w:rFonts w:hint="eastAsia"/>
          <w:color w:val="auto"/>
          <w:sz w:val="24"/>
          <w:szCs w:val="24"/>
          <w:highlight w:val="none"/>
        </w:rPr>
        <w:t xml:space="preserve">（2）乙方提交的方案等不符合约定或甲方要求，乙方不予修改/重做或修改/重做2次及以上后仍未完全满足约定或甲方要求的；</w:t>
      </w:r>
      <w:r/>
    </w:p>
    <w:p>
      <w:pPr>
        <w:pStyle w:val="998"/>
        <w:ind w:firstLine="480"/>
        <w:keepLines w:val="0"/>
        <w:keepNext w:val="0"/>
        <w:pageBreakBefore w:val="0"/>
        <w:spacing w:line="560" w:lineRule="exact"/>
        <w:widowControl w:val="off"/>
        <w:rPr>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3</w:t>
      </w:r>
      <w:r>
        <w:rPr>
          <w:rFonts w:hint="eastAsia"/>
          <w:color w:val="auto"/>
          <w:sz w:val="24"/>
          <w:szCs w:val="24"/>
          <w:highlight w:val="none"/>
        </w:rPr>
        <w:t xml:space="preserve">）委派的员工不符合约定要求及能力，并已严重影响项目进程，经甲方指出，仍未改正；</w:t>
      </w:r>
      <w:r/>
    </w:p>
    <w:p>
      <w:pPr>
        <w:pStyle w:val="998"/>
        <w:ind w:firstLine="480"/>
        <w:keepLines w:val="0"/>
        <w:keepNext w:val="0"/>
        <w:pageBreakBefore w:val="0"/>
        <w:spacing w:line="560" w:lineRule="exact"/>
        <w:widowControl w:val="off"/>
        <w:rPr>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4</w:t>
      </w:r>
      <w:r>
        <w:rPr>
          <w:rFonts w:hint="eastAsia"/>
          <w:color w:val="auto"/>
          <w:sz w:val="24"/>
          <w:szCs w:val="24"/>
          <w:highlight w:val="none"/>
        </w:rPr>
        <w:t xml:space="preserve">）中止或终止开展项目事务的；</w:t>
      </w:r>
      <w:r/>
    </w:p>
    <w:p>
      <w:pPr>
        <w:pStyle w:val="998"/>
        <w:ind w:firstLine="480"/>
        <w:keepLines w:val="0"/>
        <w:keepNext w:val="0"/>
        <w:pageBreakBefore w:val="0"/>
        <w:spacing w:line="560" w:lineRule="exact"/>
        <w:widowControl w:val="off"/>
        <w:rPr>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5</w:t>
      </w:r>
      <w:r>
        <w:rPr>
          <w:rFonts w:hint="eastAsia"/>
          <w:color w:val="auto"/>
          <w:sz w:val="24"/>
          <w:szCs w:val="24"/>
          <w:highlight w:val="none"/>
        </w:rPr>
        <w:t xml:space="preserve">）乙方及其人员存在违反知识产权、保密条款的约定；干扰甲方工作及项目事务开展；损害甲方及项目利益（含声誉、经济利益等）之任一行为的；</w:t>
      </w:r>
      <w:r/>
    </w:p>
    <w:p>
      <w:pPr>
        <w:pStyle w:val="998"/>
        <w:ind w:firstLine="480"/>
        <w:keepLines w:val="0"/>
        <w:keepNext w:val="0"/>
        <w:pageBreakBefore w:val="0"/>
        <w:spacing w:line="560" w:lineRule="exact"/>
        <w:widowControl w:val="off"/>
        <w:rPr>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6</w:t>
      </w:r>
      <w:r>
        <w:rPr>
          <w:rFonts w:hint="eastAsia"/>
          <w:color w:val="auto"/>
          <w:sz w:val="24"/>
          <w:szCs w:val="24"/>
          <w:highlight w:val="none"/>
        </w:rPr>
        <w:t xml:space="preserve">）因乙方原因导致甲方涉及纠纷或承担责任的。</w:t>
      </w:r>
      <w:r/>
    </w:p>
    <w:p>
      <w:pPr>
        <w:ind w:firstLine="482"/>
        <w:keepLines w:val="0"/>
        <w:keepNext w:val="0"/>
        <w:pageBreakBefore w:val="0"/>
        <w:spacing w:line="6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、不可抗力</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在合同有效期内，任何一方因不可抗力事件导致不能履行合同，则合同履行期延长，其延长期与不可抗力影响期相同。</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不可抗力事件发生后，应立即通知对方，并寄送有关权威机构出具的证明。</w:t>
      </w:r>
      <w:r/>
    </w:p>
    <w:p>
      <w:pPr>
        <w:ind w:firstLine="480"/>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不可抗力事件延续 120 天以上，双方应通过友好协商，确定是否继续履行合同。</w:t>
      </w:r>
      <w:r/>
    </w:p>
    <w:p>
      <w:pPr>
        <w:ind w:firstLine="482"/>
        <w:keepLines w:val="0"/>
        <w:keepNext w:val="0"/>
        <w:pageBreakBefore w:val="0"/>
        <w:spacing w:line="6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争议的解决</w:t>
      </w:r>
      <w:r/>
    </w:p>
    <w:p>
      <w:pPr>
        <w:ind w:firstLine="4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甲、乙双方应通过友好协商，解决在执行本合同中所发生的或与本合同有关的一切争议，如协商仍得不到解决，任何一方均可依法向</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所在地人民法院起诉。</w:t>
      </w:r>
      <w:r/>
    </w:p>
    <w:p>
      <w:pPr>
        <w:ind w:firstLine="482"/>
        <w:keepLines w:val="0"/>
        <w:keepNext w:val="0"/>
        <w:pageBreakBefore w:val="0"/>
        <w:spacing w:line="6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en-US" w:eastAsia="zh-CN"/>
        </w:rPr>
        <w:t xml:space="preserve">、其他</w:t>
      </w:r>
      <w:r/>
    </w:p>
    <w:p>
      <w:pPr>
        <w:ind w:firstLine="480"/>
        <w:keepLines w:val="0"/>
        <w:keepNext w:val="0"/>
        <w:pageBreakBefore w:val="0"/>
        <w:spacing w:line="6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本合同未尽事宜，遵照《中华人民共和国民法典》有关条文执行。</w:t>
      </w:r>
      <w:r/>
    </w:p>
    <w:p>
      <w:pPr>
        <w:ind w:firstLine="480"/>
        <w:keepLines w:val="0"/>
        <w:keepNext w:val="0"/>
        <w:pageBreakBefore w:val="0"/>
        <w:spacing w:line="6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如需补充合同内容，经协商，甲、乙双方应签署书面补充合同协议，该协议将作为本合同的一个组成部分。</w:t>
      </w:r>
      <w:r/>
    </w:p>
    <w:p>
      <w:pPr>
        <w:ind w:firstLine="480"/>
        <w:keepLines w:val="0"/>
        <w:keepNext w:val="0"/>
        <w:pageBreakBefore w:val="0"/>
        <w:spacing w:line="6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招标文件和乙方的投标文件作为本合同的组成部分，与本合同具有同等法律效力。</w:t>
      </w:r>
      <w:r/>
    </w:p>
    <w:p>
      <w:pPr>
        <w:ind w:firstLine="480"/>
        <w:keepLines w:val="0"/>
        <w:keepNext w:val="0"/>
        <w:pageBreakBefore w:val="0"/>
        <w:spacing w:line="6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本合同一式陆份，以中文书写，甲、乙双方各执叁份，经甲、乙双方签字盖章后生效。</w:t>
      </w: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val="0"/>
          <w:bCs w:val="0"/>
          <w:color w:val="auto"/>
          <w:sz w:val="24"/>
          <w:szCs w:val="24"/>
          <w:highlight w:val="none"/>
        </w:rPr>
      </w:r>
      <w:r/>
    </w:p>
    <w:p>
      <w:pPr>
        <w:jc w:val="center"/>
        <w:spacing w:line="360" w:lineRule="auto"/>
        <w:rPr>
          <w:rFonts w:ascii="黑体" w:hAnsi="Arial" w:eastAsia="黑体"/>
          <w:color w:val="auto"/>
          <w:sz w:val="44"/>
          <w:szCs w:val="44"/>
          <w:highlight w:val="none"/>
        </w:rPr>
      </w:pPr>
      <w:r>
        <w:rPr>
          <w:rFonts w:hint="eastAsia" w:ascii="黑体" w:hAnsi="Arial" w:eastAsia="黑体"/>
          <w:color w:val="auto"/>
          <w:sz w:val="44"/>
          <w:szCs w:val="44"/>
          <w:highlight w:val="none"/>
        </w:rPr>
        <w:t xml:space="preserve">第四章</w:t>
      </w:r>
      <w:r>
        <w:rPr>
          <w:rFonts w:ascii="黑体" w:hAnsi="Arial" w:eastAsia="黑体"/>
          <w:color w:val="auto"/>
          <w:sz w:val="44"/>
          <w:szCs w:val="44"/>
          <w:highlight w:val="none"/>
        </w:rPr>
        <w:t xml:space="preserve">  </w:t>
      </w:r>
      <w:r>
        <w:rPr>
          <w:rFonts w:hint="eastAsia" w:ascii="黑体" w:hAnsi="Arial" w:eastAsia="黑体"/>
          <w:color w:val="auto"/>
          <w:sz w:val="44"/>
          <w:szCs w:val="44"/>
          <w:highlight w:val="none"/>
        </w:rPr>
        <w:t xml:space="preserve">项目需求</w:t>
      </w:r>
      <w:r/>
    </w:p>
    <w:p>
      <w:pPr>
        <w:pStyle w:val="998"/>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bookmarkStart w:id="136" w:name="_Toc49090575"/>
      <w:r/>
      <w:bookmarkStart w:id="137" w:name="_Toc26554093"/>
      <w:r>
        <w:rPr>
          <w:rFonts w:hint="eastAsia" w:ascii="宋体" w:hAnsi="宋体" w:eastAsia="宋体" w:cs="宋体"/>
          <w:b/>
          <w:bCs/>
          <w:color w:val="auto"/>
          <w:sz w:val="24"/>
          <w:szCs w:val="24"/>
          <w:highlight w:val="none"/>
          <w:lang w:val="zh-CN"/>
        </w:rPr>
        <w:t xml:space="preserve">项目属性:服务类项目。</w:t>
      </w:r>
      <w:bookmarkEnd w:id="136"/>
      <w:r/>
      <w:bookmarkEnd w:id="137"/>
      <w:r/>
      <w:r/>
    </w:p>
    <w:p>
      <w:pPr>
        <w:pStyle w:val="998"/>
        <w:ind w:firstLine="480"/>
        <w:keepLines w:val="0"/>
        <w:keepNext w:val="0"/>
        <w:pageBreakBefore w:val="0"/>
        <w:spacing w:line="560" w:lineRule="exact"/>
        <w:widowControl w:val="off"/>
        <w:rPr>
          <w:rFonts w:hint="eastAsia"/>
          <w:b/>
          <w:bCs/>
          <w:color w:val="auto"/>
          <w:sz w:val="24"/>
          <w:szCs w:val="24"/>
          <w:highlight w:val="none"/>
        </w:rPr>
      </w:pPr>
      <w:r>
        <w:rPr>
          <w:rFonts w:hint="eastAsia"/>
          <w:b/>
          <w:bCs/>
          <w:color w:val="auto"/>
          <w:sz w:val="24"/>
          <w:szCs w:val="24"/>
          <w:highlight w:val="none"/>
        </w:rPr>
        <w:t xml:space="preserve">一</w:t>
      </w:r>
      <w:r>
        <w:rPr>
          <w:rFonts w:hint="eastAsia"/>
          <w:b/>
          <w:bCs/>
          <w:color w:val="auto"/>
          <w:sz w:val="24"/>
          <w:szCs w:val="24"/>
          <w:highlight w:val="none"/>
          <w:lang w:eastAsia="zh-CN"/>
        </w:rPr>
        <w:t xml:space="preserve">、</w:t>
      </w:r>
      <w:r>
        <w:rPr>
          <w:rFonts w:hint="eastAsia"/>
          <w:b/>
          <w:bCs/>
          <w:color w:val="auto"/>
          <w:sz w:val="24"/>
          <w:szCs w:val="24"/>
          <w:highlight w:val="none"/>
        </w:rPr>
        <w:t xml:space="preserve">服务范围</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1、土壤污染状况调查报告评审技术支撑。针对提交盐城市级评审的土壤污染状况调查报告和提交盐城市级预审的风险评估报告、效果评估报告，开展资料审查，资料审查通过后组织专家评审（初审），并出具初审意见。</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2、土壤污染状况调查过程质量控制。组织专家参照《建设用地土壤污染状况初步调查监督检查工作指南（试行）》要求，对建设用地土壤污染状况调查、效果评估环节采取必查和抽查的方式进行质量控制，定期对县（市、区）土壤污染状况调查报告质量开展抽查。</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3、土壤和地下水污染防治工作相关专家技术支撑。</w:t>
      </w:r>
      <w:r/>
    </w:p>
    <w:p>
      <w:pPr>
        <w:pStyle w:val="998"/>
        <w:ind w:firstLine="480"/>
        <w:keepLines w:val="0"/>
        <w:keepNext w:val="0"/>
        <w:pageBreakBefore w:val="0"/>
        <w:spacing w:line="560" w:lineRule="exact"/>
        <w:widowControl w:val="off"/>
        <w:rPr>
          <w:rFonts w:hint="eastAsia"/>
          <w:b/>
          <w:bCs/>
          <w:color w:val="auto"/>
          <w:sz w:val="24"/>
          <w:szCs w:val="24"/>
          <w:highlight w:val="none"/>
        </w:rPr>
      </w:pPr>
      <w:r>
        <w:rPr>
          <w:rFonts w:hint="eastAsia"/>
          <w:b/>
          <w:bCs/>
          <w:color w:val="auto"/>
          <w:sz w:val="24"/>
          <w:szCs w:val="24"/>
          <w:highlight w:val="none"/>
        </w:rPr>
        <w:t xml:space="preserve">二</w:t>
      </w:r>
      <w:r>
        <w:rPr>
          <w:rFonts w:hint="eastAsia"/>
          <w:b/>
          <w:bCs/>
          <w:color w:val="auto"/>
          <w:sz w:val="24"/>
          <w:szCs w:val="24"/>
          <w:highlight w:val="none"/>
          <w:lang w:eastAsia="zh-CN"/>
        </w:rPr>
        <w:t xml:space="preserve">、</w:t>
      </w:r>
      <w:r>
        <w:rPr>
          <w:rFonts w:hint="eastAsia"/>
          <w:b/>
          <w:bCs/>
          <w:color w:val="auto"/>
          <w:sz w:val="24"/>
          <w:szCs w:val="24"/>
          <w:highlight w:val="none"/>
        </w:rPr>
        <w:t xml:space="preserve">项目内容和技术服务要求</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1、土壤污染状况调查报告评审技术支撑。根据《省生态环境厅、自然资源厅关于试点开展建设用地土壤污染风险评估、风险管控和修复效果评估报告评审工作的通知》（苏环办〔2019〕309号）等文件要求，针对提交盐城市级评审的土壤污染状况调查报告和提交盐城市级预审的风险评估报告、效果评估报告，派员驻点</w:t>
      </w:r>
      <w:r>
        <w:rPr>
          <w:rFonts w:hint="eastAsia"/>
          <w:color w:val="auto"/>
          <w:sz w:val="24"/>
          <w:szCs w:val="24"/>
          <w:highlight w:val="none"/>
        </w:rPr>
        <w:t xml:space="preserve">服务</w:t>
      </w:r>
      <w:r>
        <w:rPr>
          <w:rFonts w:hint="eastAsia"/>
          <w:color w:val="auto"/>
          <w:sz w:val="24"/>
          <w:szCs w:val="24"/>
          <w:highlight w:val="none"/>
        </w:rPr>
        <w:t xml:space="preserve">，组织资料审查，资料具备评审（初审）条件后，组织专家评审（初审），并出具初审意见。</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（1）资料审查</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技术支撑单位在接到调查报告、风险评估报告或效果评估报告后，相关技术人员在3个工作日内组织资料审查，对存在资料不全、有原则性错误或适用法律法规标准存在重大失误的报告，不具备组织评审条件的，应及时向生态环境部门报告，作出“暂不予安排评审”的决定。对资料审查符合相关技术规范，具备组织评审（初审）条件的，出具初审意见，并列入评审（初审）计划。</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（2）评审（初审）</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对列入评审（初审）计划的报告在5个工作日内，协助生态环境主管部门组织召开评审（初审）会，必要时会前组织专家察看现场，落实《省生态环境厅、自然资源厅关于试点开展建设用地土壤污染风险评估、风险管控和修复效果评估报告评审工作的通知》（苏环办〔2019〕309号）等文件相关要求。</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（3）评审相关费用。负责支付参与评审（初审）的专家评审等相关费用。</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（4）备案及上传。配合生态环境主管部门做好评审后相关工作。</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2、土壤污染状况调查过程质量控制。技术支撑单位按照市生态环境局要求，组织专家参照《建设用地土壤污染状况初步调查监督检查工作指南（试行）》要求，对土壤污染状况调查、修复效果的关键环节（采样分析工作计划、现场采样和实验室检测分析）采取必查和抽查的方式进行质量控制，每半年对全市已评审的土壤污染状况调查报告开展一次质量抽查，并报送抽查结果。</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3、土壤污染防治工作相关专家技术支撑。根据工作需要，派员驻点</w:t>
      </w:r>
      <w:r>
        <w:rPr>
          <w:rFonts w:hint="eastAsia"/>
          <w:color w:val="auto"/>
          <w:sz w:val="24"/>
          <w:szCs w:val="24"/>
          <w:highlight w:val="none"/>
        </w:rPr>
        <w:t xml:space="preserve">服务</w:t>
      </w:r>
      <w:r>
        <w:rPr>
          <w:rFonts w:hint="eastAsia"/>
          <w:color w:val="auto"/>
          <w:sz w:val="24"/>
          <w:szCs w:val="24"/>
          <w:highlight w:val="none"/>
        </w:rPr>
        <w:t xml:space="preserve">，并对土壤污染防治工作提供资料核查、现场检查等相关专业技术支撑。</w:t>
      </w:r>
      <w:r/>
    </w:p>
    <w:p>
      <w:pPr>
        <w:pStyle w:val="998"/>
        <w:ind w:firstLine="480"/>
        <w:keepLines w:val="0"/>
        <w:keepNext w:val="0"/>
        <w:pageBreakBefore w:val="0"/>
        <w:spacing w:line="560" w:lineRule="exact"/>
        <w:widowControl w:val="off"/>
        <w:rPr>
          <w:rFonts w:hint="eastAsia"/>
          <w:b/>
          <w:bCs/>
          <w:color w:val="auto"/>
          <w:sz w:val="24"/>
          <w:szCs w:val="24"/>
          <w:highlight w:val="none"/>
        </w:rPr>
      </w:pPr>
      <w:r>
        <w:rPr>
          <w:rFonts w:hint="eastAsia"/>
          <w:b/>
          <w:bCs/>
          <w:color w:val="auto"/>
          <w:sz w:val="24"/>
          <w:szCs w:val="24"/>
          <w:highlight w:val="none"/>
        </w:rPr>
        <w:t xml:space="preserve">三</w:t>
      </w:r>
      <w:r>
        <w:rPr>
          <w:rFonts w:hint="eastAsia"/>
          <w:b/>
          <w:bCs/>
          <w:color w:val="auto"/>
          <w:sz w:val="24"/>
          <w:szCs w:val="24"/>
          <w:highlight w:val="none"/>
          <w:lang w:eastAsia="zh-CN"/>
        </w:rPr>
        <w:t xml:space="preserve">、</w:t>
      </w:r>
      <w:r>
        <w:rPr>
          <w:rFonts w:hint="eastAsia"/>
          <w:b/>
          <w:bCs/>
          <w:color w:val="auto"/>
          <w:sz w:val="24"/>
          <w:szCs w:val="24"/>
          <w:highlight w:val="none"/>
        </w:rPr>
        <w:t xml:space="preserve">履约验收</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1、市级生态环境部门依法组织履约验收工作。</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2、市级生态环境部门在组织履约验收前，将根据项目特点制定验收方案，明确履约验收的时间、方式、程序等内容，并可根据项目特点对服务期内的服务实施情况进行分期考核，综合考核情况和服务效果进行验收。技术支撑单位应根据验收方案内容做好相应配合工作。</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3、对于实际使用人（土壤污染状况调查报告或质控项目等）和市级生态环境部门分离的项目，市级生态环境部门邀请部分实际使用人参与验收。</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4、如有必要，市级生态环境部门邀请参加本项目的其他供应商或第三方专业机构及专家参与验收，相关意见将作为验收书的参考资料。</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5、市级生态环境部门成立验收小组，按照采购合同的约定对技术支撑单位的履约情况进行验收。验收时，市级生态环境部门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6、验收合格的项目，市级生态环境部门根据采购合同的约定及时向技术支撑单位支付合同款项、退还履约保证金。验收不合格的项目，市级生态环境部门依法及时处理。采购合同的履行、违约责任和解决争议的方式等适用《</w:t>
      </w:r>
      <w:r>
        <w:rPr>
          <w:rFonts w:hint="eastAsia" w:ascii="宋体" w:hAnsi="宋体" w:cs="宋体"/>
          <w:color w:val="auto"/>
          <w:sz w:val="24"/>
          <w:szCs w:val="24"/>
          <w:highlight w:val="none"/>
        </w:rPr>
        <w:t xml:space="preserve">中华人民共和国民法典</w:t>
      </w:r>
      <w:r>
        <w:rPr>
          <w:rFonts w:hint="eastAsia"/>
          <w:color w:val="auto"/>
          <w:sz w:val="24"/>
          <w:szCs w:val="24"/>
          <w:highlight w:val="none"/>
        </w:rPr>
        <w:t xml:space="preserve">》。技术支撑单位在履约过程中有政府采购法律法规规定的违法违规情形的，市级生态环境部门将及时报告本级财政部门。</w:t>
      </w:r>
      <w:r/>
    </w:p>
    <w:p>
      <w:pPr>
        <w:pStyle w:val="998"/>
        <w:ind w:firstLine="480"/>
        <w:keepLines w:val="0"/>
        <w:keepNext w:val="0"/>
        <w:pageBreakBefore w:val="0"/>
        <w:spacing w:line="560" w:lineRule="exact"/>
        <w:widowControl w:val="off"/>
        <w:rPr>
          <w:rFonts w:hint="eastAsia"/>
          <w:b/>
          <w:bCs/>
          <w:color w:val="auto"/>
          <w:sz w:val="24"/>
          <w:szCs w:val="24"/>
          <w:highlight w:val="none"/>
        </w:rPr>
      </w:pPr>
      <w:r>
        <w:rPr>
          <w:rFonts w:hint="eastAsia"/>
          <w:b/>
          <w:bCs/>
          <w:color w:val="auto"/>
          <w:sz w:val="24"/>
          <w:szCs w:val="24"/>
          <w:highlight w:val="none"/>
        </w:rPr>
        <w:t xml:space="preserve">四</w:t>
      </w:r>
      <w:r>
        <w:rPr>
          <w:rFonts w:hint="eastAsia"/>
          <w:b/>
          <w:bCs/>
          <w:color w:val="auto"/>
          <w:sz w:val="24"/>
          <w:szCs w:val="24"/>
          <w:highlight w:val="none"/>
          <w:lang w:eastAsia="zh-CN"/>
        </w:rPr>
        <w:t xml:space="preserve">、</w:t>
      </w:r>
      <w:r>
        <w:rPr>
          <w:rFonts w:hint="eastAsia"/>
          <w:b/>
          <w:bCs/>
          <w:color w:val="auto"/>
          <w:sz w:val="24"/>
          <w:szCs w:val="24"/>
          <w:highlight w:val="none"/>
        </w:rPr>
        <w:t xml:space="preserve">服务成果</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组织市级评审，经审查后的报告专家评审通过率不得低于80%；市级预审后，经审查后报告报省级评审，专家评审通过率不得低于80%；每季度提交县（市、区）报告抽查情况，年底提交年度土壤污染状况调查质量监督检查情况报告。</w:t>
      </w:r>
      <w:r/>
    </w:p>
    <w:p>
      <w:pPr>
        <w:pStyle w:val="998"/>
        <w:ind w:firstLine="480"/>
        <w:keepLines w:val="0"/>
        <w:keepNext w:val="0"/>
        <w:pageBreakBefore w:val="0"/>
        <w:spacing w:line="560" w:lineRule="exact"/>
        <w:widowControl w:val="off"/>
        <w:rPr>
          <w:rFonts w:hint="eastAsia"/>
          <w:b/>
          <w:bCs/>
          <w:color w:val="auto"/>
          <w:sz w:val="24"/>
          <w:szCs w:val="24"/>
          <w:highlight w:val="none"/>
        </w:rPr>
      </w:pPr>
      <w:r>
        <w:rPr>
          <w:rFonts w:hint="eastAsia"/>
          <w:b/>
          <w:bCs/>
          <w:color w:val="auto"/>
          <w:sz w:val="24"/>
          <w:szCs w:val="24"/>
          <w:highlight w:val="none"/>
        </w:rPr>
        <w:t xml:space="preserve">五</w:t>
      </w:r>
      <w:r>
        <w:rPr>
          <w:rFonts w:hint="eastAsia"/>
          <w:b/>
          <w:bCs/>
          <w:color w:val="auto"/>
          <w:sz w:val="24"/>
          <w:szCs w:val="24"/>
          <w:highlight w:val="none"/>
          <w:lang w:eastAsia="zh-CN"/>
        </w:rPr>
        <w:t xml:space="preserve">、</w:t>
      </w:r>
      <w:r>
        <w:rPr>
          <w:rFonts w:hint="eastAsia"/>
          <w:b/>
          <w:bCs/>
          <w:color w:val="auto"/>
          <w:sz w:val="24"/>
          <w:szCs w:val="24"/>
          <w:highlight w:val="none"/>
        </w:rPr>
        <w:t xml:space="preserve">付款方式</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合同签订后，甲方收到乙方发票后10个工作日内支付合同价款的30%作为预付款；半年报告抽查情况上报后，支付合同价款的30%；年底提交年度土壤污染状况调查质量监督检查情况报告和报告抽查情况后，结清余款。报告省、市评审通过率每少1个百分点，扣减合同总额的1%；未达省、市相关目标任务及考核要求的，扣减合同总额的5%。</w:t>
      </w:r>
      <w:r/>
    </w:p>
    <w:p>
      <w:pPr>
        <w:pStyle w:val="998"/>
        <w:ind w:firstLine="480"/>
        <w:keepLines w:val="0"/>
        <w:keepNext w:val="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注：每次申请付款前，乙方必须向甲方提供有效发票；因乙方未能及时提供发票而导致付款延误的，责任由乙方承担。</w:t>
      </w:r>
      <w:r/>
    </w:p>
    <w:p>
      <w:pPr>
        <w:pStyle w:val="998"/>
        <w:ind w:firstLine="480"/>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eastAsia="zh-CN"/>
        </w:rPr>
        <w:t xml:space="preserve">、其他</w:t>
      </w:r>
      <w:r/>
    </w:p>
    <w:p>
      <w:pPr>
        <w:ind w:left="0" w:right="0" w:firstLine="560"/>
        <w:keepLines w:val="0"/>
        <w:keepNext w:val="0"/>
        <w:pageBreakBefore w:val="0"/>
        <w:spacing w:line="500" w:lineRule="exact"/>
        <w:widowControl w:val="off"/>
        <w:rPr>
          <w:rFonts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1、</w:t>
      </w:r>
      <w:r>
        <w:rPr>
          <w:rFonts w:hint="eastAsia" w:ascii="宋体" w:hAnsi="宋体" w:cs="宋体"/>
          <w:b/>
          <w:bCs w:val="0"/>
          <w:color w:val="auto"/>
          <w:sz w:val="24"/>
          <w:szCs w:val="24"/>
          <w:highlight w:val="none"/>
          <w:lang w:val="en-US" w:eastAsia="zh-CN"/>
        </w:rPr>
        <w:t xml:space="preserve">综合实力</w:t>
      </w:r>
      <w:r/>
    </w:p>
    <w:p>
      <w:pPr>
        <w:ind w:left="0" w:right="0" w:firstLine="560"/>
        <w:keepLines w:val="0"/>
        <w:keepNext w:val="0"/>
        <w:pageBreakBefore w:val="0"/>
        <w:spacing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1.1本项目为服务项目，投标人需具有科学有效的管理流程和规范，优化内部管理，提高工作效率和质量</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并且通过有效的环境管理减少环境污染，同时应重视员工的职业健康和安全</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降低工伤事故和职业病的发生率，提高员工的工作积极性</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具有有效</w:t>
      </w:r>
      <w:r>
        <w:rPr>
          <w:rFonts w:hint="eastAsia" w:ascii="宋体" w:hAnsi="宋体" w:cs="宋体"/>
          <w:b w:val="0"/>
          <w:bCs/>
          <w:color w:val="auto"/>
          <w:sz w:val="24"/>
          <w:szCs w:val="24"/>
          <w:highlight w:val="none"/>
          <w:lang w:val="en-US" w:eastAsia="zh-CN"/>
        </w:rPr>
        <w:t xml:space="preserve">期内</w:t>
      </w:r>
      <w:r>
        <w:rPr>
          <w:rFonts w:hint="eastAsia" w:ascii="宋体" w:hAnsi="宋体" w:eastAsia="宋体" w:cs="宋体"/>
          <w:b w:val="0"/>
          <w:bCs/>
          <w:color w:val="auto"/>
          <w:sz w:val="24"/>
          <w:szCs w:val="24"/>
          <w:highlight w:val="none"/>
          <w:lang w:val="en-US" w:eastAsia="zh-CN"/>
        </w:rPr>
        <w:t xml:space="preserve">的质量管理体系认证证书、环境管理体系认证证书、职业健康安全管理体系认证证书的</w:t>
      </w:r>
      <w:r>
        <w:rPr>
          <w:rFonts w:hint="eastAsia" w:ascii="宋体" w:hAnsi="宋体" w:eastAsia="宋体" w:cs="宋体"/>
          <w:b/>
          <w:bCs w:val="0"/>
          <w:color w:val="auto"/>
          <w:sz w:val="24"/>
          <w:szCs w:val="24"/>
          <w:highlight w:val="none"/>
          <w:lang w:val="en-US" w:eastAsia="zh-CN"/>
        </w:rPr>
        <w:t xml:space="preserve">优先</w:t>
      </w:r>
      <w:r>
        <w:rPr>
          <w:rFonts w:hint="eastAsia" w:ascii="宋体" w:hAnsi="宋体" w:eastAsia="宋体" w:cs="宋体"/>
          <w:b w:val="0"/>
          <w:bCs/>
          <w:color w:val="auto"/>
          <w:sz w:val="24"/>
          <w:szCs w:val="24"/>
          <w:highlight w:val="none"/>
          <w:lang w:val="en-US" w:eastAsia="zh-CN"/>
        </w:rPr>
        <w:t xml:space="preserve">。</w:t>
      </w:r>
      <w:r/>
    </w:p>
    <w:p>
      <w:pPr>
        <w:ind w:left="0" w:right="0" w:firstLine="560"/>
        <w:keepLines w:val="0"/>
        <w:keepNext w:val="0"/>
        <w:pageBreakBefore w:val="0"/>
        <w:spacing w:line="500" w:lineRule="exact"/>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1.2项目负责人：</w:t>
      </w:r>
      <w:r>
        <w:rPr>
          <w:rFonts w:hint="eastAsia" w:ascii="宋体" w:hAnsi="宋体" w:eastAsia="宋体" w:cs="宋体"/>
          <w:b w:val="0"/>
          <w:bCs/>
          <w:color w:val="auto"/>
          <w:sz w:val="24"/>
          <w:szCs w:val="24"/>
          <w:highlight w:val="none"/>
          <w:lang w:val="en-US" w:eastAsia="zh-CN"/>
        </w:rPr>
        <w:t xml:space="preserve">本项目为服务类且专业技术要求高，要求拟派项目负责人具备带领团队的能力、组织能力和大局观，较强的应变能力和沟通能力，能够迅速应变项目实施过程中出现的问题，拟投入项目负责人具有</w:t>
      </w:r>
      <w:r>
        <w:rPr>
          <w:rFonts w:hint="eastAsia" w:ascii="宋体" w:hAnsi="宋体" w:eastAsia="宋体" w:cs="宋体"/>
          <w:color w:val="auto"/>
          <w:sz w:val="24"/>
          <w:szCs w:val="24"/>
          <w:highlight w:val="none"/>
          <w:lang w:val="zh-TW" w:eastAsia="zh-TW"/>
        </w:rPr>
        <w:t xml:space="preserve">环保类</w:t>
      </w:r>
      <w:r>
        <w:rPr>
          <w:rFonts w:hint="eastAsia" w:ascii="宋体" w:hAnsi="宋体" w:cs="宋体"/>
          <w:color w:val="auto"/>
          <w:sz w:val="24"/>
          <w:szCs w:val="24"/>
          <w:highlight w:val="none"/>
          <w:lang w:val="en-US" w:eastAsia="zh-CN"/>
        </w:rPr>
        <w:t xml:space="preserve">或化工类</w:t>
      </w:r>
      <w:r>
        <w:rPr>
          <w:rFonts w:hint="eastAsia" w:ascii="宋体" w:hAnsi="宋体" w:eastAsia="宋体" w:cs="宋体"/>
          <w:color w:val="auto"/>
          <w:sz w:val="24"/>
          <w:szCs w:val="24"/>
          <w:highlight w:val="none"/>
          <w:lang w:val="zh-TW" w:eastAsia="zh-TW"/>
        </w:rPr>
        <w:t xml:space="preserve">高级职称</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或副研究员专业技术职称</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b w:val="0"/>
          <w:bCs/>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lang w:val="en-US" w:eastAsia="zh-CN"/>
        </w:rPr>
        <w:t xml:space="preserve">优先</w:t>
      </w:r>
      <w:r>
        <w:rPr>
          <w:rFonts w:hint="eastAsia" w:ascii="宋体" w:hAnsi="宋体" w:eastAsia="宋体" w:cs="宋体"/>
          <w:b w:val="0"/>
          <w:bCs/>
          <w:color w:val="auto"/>
          <w:sz w:val="24"/>
          <w:szCs w:val="24"/>
          <w:highlight w:val="none"/>
          <w:lang w:val="en-US" w:eastAsia="zh-CN"/>
        </w:rPr>
        <w:t xml:space="preserve">；</w:t>
      </w:r>
      <w:r/>
    </w:p>
    <w:p>
      <w:pPr>
        <w:ind w:left="0" w:right="0" w:firstLine="560"/>
        <w:keepLines w:val="0"/>
        <w:keepNext w:val="0"/>
        <w:pageBreakBefore w:val="0"/>
        <w:spacing w:line="5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lang w:val="en-US" w:eastAsia="zh-CN"/>
        </w:rPr>
        <w:t xml:space="preserve">项目组其他成员</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也需具备较强的专业技术能力，配合项目负责人</w:t>
      </w:r>
      <w:r>
        <w:rPr>
          <w:rFonts w:hint="eastAsia" w:ascii="宋体" w:hAnsi="宋体" w:cs="宋体"/>
          <w:b w:val="0"/>
          <w:bCs/>
          <w:color w:val="auto"/>
          <w:sz w:val="24"/>
          <w:szCs w:val="24"/>
          <w:highlight w:val="none"/>
          <w:lang w:val="en-US" w:eastAsia="zh-CN"/>
        </w:rPr>
        <w:t xml:space="preserve">更</w:t>
      </w:r>
      <w:r>
        <w:rPr>
          <w:rFonts w:hint="eastAsia" w:ascii="宋体" w:hAnsi="宋体" w:eastAsia="宋体" w:cs="宋体"/>
          <w:b w:val="0"/>
          <w:bCs/>
          <w:color w:val="auto"/>
          <w:sz w:val="24"/>
          <w:szCs w:val="24"/>
          <w:highlight w:val="none"/>
          <w:lang w:val="en-US" w:eastAsia="zh-CN"/>
        </w:rPr>
        <w:t xml:space="preserve">专业、严谨的完成本项目的服务工作，拟投入项目</w:t>
      </w:r>
      <w:r>
        <w:rPr>
          <w:rFonts w:hint="eastAsia" w:ascii="宋体" w:hAnsi="宋体" w:cs="宋体"/>
          <w:b w:val="0"/>
          <w:bCs/>
          <w:color w:val="auto"/>
          <w:sz w:val="24"/>
          <w:szCs w:val="24"/>
          <w:highlight w:val="none"/>
          <w:lang w:val="en-US" w:eastAsia="zh-CN"/>
        </w:rPr>
        <w:t xml:space="preserve">组其他成员</w:t>
      </w:r>
      <w:r>
        <w:rPr>
          <w:rFonts w:hint="eastAsia" w:ascii="宋体" w:hAnsi="宋体" w:eastAsia="宋体" w:cs="宋体"/>
          <w:b w:val="0"/>
          <w:bCs/>
          <w:color w:val="auto"/>
          <w:sz w:val="24"/>
          <w:szCs w:val="24"/>
          <w:highlight w:val="none"/>
          <w:lang w:val="en-US" w:eastAsia="zh-CN"/>
        </w:rPr>
        <w:t xml:space="preserve">以具有</w:t>
      </w:r>
      <w:r>
        <w:rPr>
          <w:rFonts w:hint="eastAsia" w:ascii="宋体" w:hAnsi="宋体" w:eastAsia="宋体" w:cs="宋体"/>
          <w:color w:val="auto"/>
          <w:sz w:val="24"/>
          <w:szCs w:val="24"/>
          <w:highlight w:val="none"/>
          <w:lang w:val="zh-TW" w:eastAsia="zh-TW"/>
        </w:rPr>
        <w:t xml:space="preserve">环保类</w:t>
      </w:r>
      <w:r>
        <w:rPr>
          <w:rFonts w:hint="eastAsia" w:ascii="宋体" w:hAnsi="宋体" w:cs="宋体"/>
          <w:color w:val="auto"/>
          <w:sz w:val="24"/>
          <w:szCs w:val="24"/>
          <w:highlight w:val="none"/>
          <w:lang w:val="en-US" w:eastAsia="zh-CN"/>
        </w:rPr>
        <w:t xml:space="preserve">中级及以上</w:t>
      </w:r>
      <w:r>
        <w:rPr>
          <w:rFonts w:hint="eastAsia" w:ascii="宋体" w:hAnsi="宋体" w:eastAsia="宋体" w:cs="宋体"/>
          <w:b w:val="0"/>
          <w:bCs/>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lang w:val="en-US" w:eastAsia="zh-CN"/>
        </w:rPr>
        <w:t xml:space="preserve">优先</w:t>
      </w:r>
      <w:r>
        <w:rPr>
          <w:rFonts w:hint="eastAsia" w:ascii="宋体" w:hAnsi="宋体" w:eastAsia="宋体" w:cs="宋体"/>
          <w:b w:val="0"/>
          <w:bCs/>
          <w:color w:val="auto"/>
          <w:sz w:val="24"/>
          <w:szCs w:val="24"/>
          <w:highlight w:val="none"/>
          <w:lang w:val="en-US" w:eastAsia="zh-CN"/>
        </w:rPr>
        <w:t xml:space="preserve">。</w:t>
      </w:r>
      <w:r/>
    </w:p>
    <w:p>
      <w:pPr>
        <w:ind w:left="0" w:right="0" w:firstLine="560"/>
        <w:keepLines w:val="0"/>
        <w:keepNext w:val="0"/>
        <w:pageBreakBefore w:val="0"/>
        <w:spacing w:line="500" w:lineRule="exact"/>
        <w:widowControl w:val="off"/>
        <w:rPr>
          <w:rFonts w:hint="default"/>
          <w:lang w:val="en-US"/>
        </w:rPr>
      </w:pPr>
      <w:r>
        <w:rPr>
          <w:rFonts w:hint="eastAsia" w:ascii="宋体" w:hAnsi="宋体" w:eastAsia="宋体" w:cs="宋体"/>
          <w:b w:val="0"/>
          <w:bCs/>
          <w:color w:val="auto"/>
          <w:sz w:val="24"/>
          <w:szCs w:val="24"/>
          <w:highlight w:val="none"/>
          <w:lang w:val="en-US" w:eastAsia="zh-CN"/>
        </w:rPr>
        <w:t xml:space="preserve">1.4为</w:t>
      </w:r>
      <w:r>
        <w:rPr>
          <w:rFonts w:hint="eastAsia" w:ascii="宋体" w:hAnsi="宋体" w:cs="宋体"/>
          <w:b w:val="0"/>
          <w:bCs/>
          <w:color w:val="auto"/>
          <w:sz w:val="24"/>
          <w:szCs w:val="24"/>
          <w:highlight w:val="none"/>
          <w:lang w:val="en-US" w:eastAsia="zh-CN"/>
        </w:rPr>
        <w:t xml:space="preserve">更好的</w:t>
      </w:r>
      <w:r>
        <w:rPr>
          <w:rFonts w:hint="eastAsia" w:ascii="宋体" w:hAnsi="宋体" w:eastAsia="宋体" w:cs="宋体"/>
          <w:b w:val="0"/>
          <w:bCs/>
          <w:color w:val="auto"/>
          <w:sz w:val="24"/>
          <w:szCs w:val="24"/>
          <w:highlight w:val="none"/>
          <w:lang w:val="en-US" w:eastAsia="zh-CN"/>
        </w:rPr>
        <w:t xml:space="preserve">服务</w:t>
      </w:r>
      <w:r>
        <w:rPr>
          <w:rFonts w:hint="eastAsia" w:ascii="宋体" w:hAnsi="宋体" w:cs="宋体"/>
          <w:b w:val="0"/>
          <w:bCs/>
          <w:color w:val="auto"/>
          <w:sz w:val="24"/>
          <w:szCs w:val="24"/>
          <w:highlight w:val="none"/>
          <w:lang w:val="en-US" w:eastAsia="zh-CN"/>
        </w:rPr>
        <w:t xml:space="preserve">于本</w:t>
      </w:r>
      <w:r>
        <w:rPr>
          <w:rFonts w:hint="eastAsia" w:ascii="宋体" w:hAnsi="宋体" w:eastAsia="宋体" w:cs="宋体"/>
          <w:b w:val="0"/>
          <w:bCs/>
          <w:color w:val="auto"/>
          <w:sz w:val="24"/>
          <w:szCs w:val="24"/>
          <w:highlight w:val="none"/>
          <w:lang w:val="en-US" w:eastAsia="zh-CN"/>
        </w:rPr>
        <w:t xml:space="preserve">项目，投标人具有</w:t>
      </w:r>
      <w:r>
        <w:rPr>
          <w:rFonts w:hint="eastAsia" w:ascii="宋体" w:hAnsi="宋体" w:eastAsia="宋体" w:cs="宋体"/>
          <w:color w:val="auto"/>
          <w:sz w:val="24"/>
          <w:szCs w:val="24"/>
          <w:highlight w:val="none"/>
          <w:lang w:val="zh-TW" w:eastAsia="zh-TW"/>
        </w:rPr>
        <w:t xml:space="preserve">有用于质量控制的CMA认证实验室的</w:t>
      </w:r>
      <w:r>
        <w:rPr>
          <w:rFonts w:hint="eastAsia" w:ascii="宋体" w:hAnsi="宋体" w:eastAsia="宋体" w:cs="宋体"/>
          <w:b/>
          <w:bCs w:val="0"/>
          <w:color w:val="auto"/>
          <w:sz w:val="24"/>
          <w:szCs w:val="24"/>
          <w:highlight w:val="none"/>
          <w:lang w:val="en-US" w:eastAsia="zh-CN"/>
        </w:rPr>
        <w:t xml:space="preserve">优先</w:t>
      </w:r>
      <w:r>
        <w:rPr>
          <w:rFonts w:hint="eastAsia" w:ascii="宋体" w:hAnsi="宋体" w:eastAsia="宋体" w:cs="宋体"/>
          <w:b w:val="0"/>
          <w:bCs/>
          <w:color w:val="auto"/>
          <w:sz w:val="24"/>
          <w:szCs w:val="24"/>
          <w:highlight w:val="none"/>
          <w:lang w:val="en-US" w:eastAsia="zh-CN"/>
        </w:rPr>
        <w:t xml:space="preserve">。</w:t>
      </w:r>
      <w:r/>
    </w:p>
    <w:p>
      <w:pPr>
        <w:ind w:left="0" w:right="0" w:firstLine="560"/>
        <w:keepLines w:val="0"/>
        <w:keepNext w:val="0"/>
        <w:pageBreakBefore w:val="0"/>
        <w:spacing w:line="500" w:lineRule="exact"/>
        <w:widowControl w:val="off"/>
        <w:rPr>
          <w:rFonts w:hint="default" w:ascii="宋体" w:hAnsi="宋体" w:eastAsia="宋体" w:cs="宋体"/>
          <w:b w:val="0"/>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2、业绩</w:t>
      </w:r>
      <w:r/>
    </w:p>
    <w:p>
      <w:pPr>
        <w:ind w:left="0" w:right="0" w:firstLine="560"/>
        <w:keepLines w:val="0"/>
        <w:keepNext w:val="0"/>
        <w:pageBreakBefore w:val="0"/>
        <w:spacing w:line="50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为更好地体现企业的综合实力</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投标人需具备类似服务经验，供应商自2022年1月1日（以合同签订时间为准）以来，</w:t>
      </w:r>
      <w:r>
        <w:rPr>
          <w:rFonts w:hint="eastAsia" w:ascii="宋体" w:hAnsi="宋体" w:eastAsia="宋体" w:cs="宋体"/>
          <w:color w:val="auto"/>
          <w:sz w:val="24"/>
          <w:szCs w:val="24"/>
          <w:highlight w:val="none"/>
          <w:lang w:val="zh-TW" w:eastAsia="zh-TW"/>
        </w:rPr>
        <w:t xml:space="preserve">承接</w:t>
      </w:r>
      <w:r>
        <w:rPr>
          <w:rFonts w:hint="eastAsia" w:ascii="宋体" w:hAnsi="宋体" w:cs="宋体"/>
          <w:color w:val="auto"/>
          <w:sz w:val="24"/>
          <w:szCs w:val="24"/>
          <w:highlight w:val="none"/>
          <w:lang w:val="en-US" w:eastAsia="zh-CN"/>
        </w:rPr>
        <w:t xml:space="preserve">类似本项目（包含</w:t>
      </w:r>
      <w:r>
        <w:rPr>
          <w:rFonts w:hint="eastAsia" w:ascii="宋体" w:hAnsi="宋体" w:cs="宋体"/>
          <w:color w:val="auto"/>
          <w:sz w:val="24"/>
          <w:szCs w:val="24"/>
          <w:highlight w:val="none"/>
          <w:lang w:val="zh-TW" w:eastAsia="zh-TW"/>
        </w:rPr>
        <w:t xml:space="preserve">土壤污染状况调查报告评审工作</w:t>
      </w:r>
      <w:r>
        <w:rPr>
          <w:rFonts w:hint="eastAsia" w:ascii="宋体" w:hAnsi="宋体" w:cs="宋体"/>
          <w:color w:val="auto"/>
          <w:sz w:val="24"/>
          <w:szCs w:val="24"/>
          <w:highlight w:val="none"/>
          <w:lang w:val="zh-TW" w:eastAsia="zh-CN"/>
        </w:rPr>
        <w:t xml:space="preserve">）</w:t>
      </w:r>
      <w:r>
        <w:rPr>
          <w:rFonts w:hint="eastAsia" w:ascii="宋体" w:hAnsi="宋体" w:eastAsia="宋体" w:cs="宋体"/>
          <w:b w:val="0"/>
          <w:bCs/>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lang w:val="en-US" w:eastAsia="zh-CN"/>
        </w:rPr>
        <w:t xml:space="preserve">优先。</w:t>
      </w:r>
      <w:r/>
    </w:p>
    <w:p>
      <w:pPr>
        <w:ind w:left="0" w:right="0" w:firstLine="560"/>
        <w:keepLines w:val="0"/>
        <w:keepNext w:val="0"/>
        <w:pageBreakBefore w:val="0"/>
        <w:spacing w:line="500" w:lineRule="exact"/>
        <w:widowControl w:val="off"/>
        <w:rPr>
          <w:rFonts w:hint="eastAsia" w:ascii="宋体" w:hAnsi="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为更好地体现企业的综合实力</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投标人需具备类似服务经验，供应商自2022年1月1日（以合同签订时间为准）以来，</w:t>
      </w:r>
      <w:r>
        <w:rPr>
          <w:rFonts w:hint="eastAsia" w:ascii="宋体" w:hAnsi="宋体" w:eastAsia="宋体" w:cs="宋体"/>
          <w:color w:val="auto"/>
          <w:sz w:val="24"/>
          <w:szCs w:val="24"/>
          <w:highlight w:val="none"/>
          <w:lang w:val="zh-TW" w:eastAsia="zh-TW"/>
        </w:rPr>
        <w:t xml:space="preserve">承接</w:t>
      </w:r>
      <w:r>
        <w:rPr>
          <w:rFonts w:hint="eastAsia" w:ascii="宋体" w:hAnsi="宋体" w:cs="宋体"/>
          <w:color w:val="auto"/>
          <w:sz w:val="24"/>
          <w:szCs w:val="24"/>
          <w:highlight w:val="none"/>
          <w:lang w:val="en-US" w:eastAsia="zh-CN"/>
        </w:rPr>
        <w:t xml:space="preserve">类似本项目（包含</w:t>
      </w:r>
      <w:r>
        <w:rPr>
          <w:rFonts w:hint="eastAsia" w:ascii="宋体" w:hAnsi="宋体" w:cs="宋体"/>
          <w:color w:val="auto"/>
          <w:sz w:val="24"/>
          <w:szCs w:val="24"/>
          <w:highlight w:val="none"/>
          <w:lang w:val="zh-TW" w:eastAsia="zh-TW"/>
        </w:rPr>
        <w:t xml:space="preserve">环境保护技术评审或评估相关服务工作</w:t>
      </w:r>
      <w:r>
        <w:rPr>
          <w:rFonts w:hint="eastAsia" w:ascii="宋体" w:hAnsi="宋体" w:cs="宋体"/>
          <w:color w:val="auto"/>
          <w:sz w:val="24"/>
          <w:szCs w:val="24"/>
          <w:highlight w:val="none"/>
          <w:lang w:val="zh-TW" w:eastAsia="zh-CN"/>
        </w:rPr>
        <w:t xml:space="preserve">）</w:t>
      </w:r>
      <w:r>
        <w:rPr>
          <w:rFonts w:hint="eastAsia" w:ascii="宋体" w:hAnsi="宋体" w:eastAsia="宋体" w:cs="宋体"/>
          <w:b w:val="0"/>
          <w:bCs/>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lang w:val="en-US" w:eastAsia="zh-CN"/>
        </w:rPr>
        <w:t xml:space="preserve">优先。</w:t>
      </w:r>
      <w:r/>
    </w:p>
    <w:p>
      <w:pPr>
        <w:ind w:left="0" w:right="0" w:firstLine="560"/>
        <w:keepLines w:val="0"/>
        <w:keepNext w:val="0"/>
        <w:pageBreakBefore w:val="0"/>
        <w:spacing w:line="500" w:lineRule="exact"/>
        <w:widowControl w:val="off"/>
        <w:rPr>
          <w:rFonts w:hint="eastAsia" w:ascii="宋体" w:hAnsi="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为更好地体现企业的综合实力</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投标人需具备类似服务经验，供应商自2022年1月1日（以合同签订时间为准）以来，</w:t>
      </w:r>
      <w:r>
        <w:rPr>
          <w:rFonts w:hint="eastAsia" w:ascii="宋体" w:hAnsi="宋体" w:eastAsia="宋体" w:cs="宋体"/>
          <w:color w:val="auto"/>
          <w:sz w:val="24"/>
          <w:szCs w:val="24"/>
          <w:highlight w:val="none"/>
          <w:lang w:val="zh-TW" w:eastAsia="zh-TW"/>
        </w:rPr>
        <w:t xml:space="preserve">承接</w:t>
      </w:r>
      <w:r>
        <w:rPr>
          <w:rFonts w:hint="eastAsia" w:ascii="宋体" w:hAnsi="宋体" w:cs="宋体"/>
          <w:color w:val="auto"/>
          <w:sz w:val="24"/>
          <w:szCs w:val="24"/>
          <w:highlight w:val="none"/>
          <w:lang w:val="en-US" w:eastAsia="zh-CN"/>
        </w:rPr>
        <w:t xml:space="preserve">类似本项目（包含</w:t>
      </w:r>
      <w:r>
        <w:rPr>
          <w:rFonts w:hint="eastAsia" w:ascii="宋体" w:hAnsi="宋体" w:cs="宋体"/>
          <w:color w:val="auto"/>
          <w:sz w:val="24"/>
          <w:szCs w:val="24"/>
          <w:highlight w:val="none"/>
          <w:lang w:val="zh-TW" w:eastAsia="zh-TW"/>
        </w:rPr>
        <w:t xml:space="preserve">工业企业土壤和地下水自行监测任务</w:t>
      </w:r>
      <w:r>
        <w:rPr>
          <w:rFonts w:hint="eastAsia" w:ascii="宋体" w:hAnsi="宋体" w:cs="宋体"/>
          <w:color w:val="auto"/>
          <w:sz w:val="24"/>
          <w:szCs w:val="24"/>
          <w:highlight w:val="none"/>
          <w:lang w:val="zh-TW" w:eastAsia="zh-CN"/>
        </w:rPr>
        <w:t xml:space="preserve">）</w:t>
      </w:r>
      <w:r>
        <w:rPr>
          <w:rFonts w:hint="eastAsia" w:ascii="宋体" w:hAnsi="宋体" w:eastAsia="宋体" w:cs="宋体"/>
          <w:b w:val="0"/>
          <w:bCs/>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lang w:val="en-US" w:eastAsia="zh-CN"/>
        </w:rPr>
        <w:t xml:space="preserve">优先。</w:t>
      </w:r>
      <w:r/>
    </w:p>
    <w:p>
      <w:pPr>
        <w:ind w:right="0" w:firstLine="482"/>
        <w:keepLines w:val="0"/>
        <w:keepNext w:val="0"/>
        <w:pageBreakBefore w:val="0"/>
        <w:spacing w:line="50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3、</w:t>
      </w:r>
      <w:r>
        <w:rPr>
          <w:rFonts w:hint="eastAsia" w:ascii="宋体" w:hAnsi="宋体" w:cs="宋体"/>
          <w:b/>
          <w:bCs w:val="0"/>
          <w:color w:val="auto"/>
          <w:sz w:val="24"/>
          <w:szCs w:val="24"/>
          <w:highlight w:val="none"/>
          <w:lang w:val="en-US" w:eastAsia="zh-CN"/>
        </w:rPr>
        <w:t xml:space="preserve">实施方案</w:t>
      </w:r>
      <w:r/>
    </w:p>
    <w:p>
      <w:pPr>
        <w:ind w:firstLine="480"/>
        <w:spacing w:line="5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投标人须根据自身实际情况结合项目需求，编制实施方案，实施方案至少包含：对本项目的理解和把握方案、拟开展的重点工作内容方案、质量保证体系及措施、进度安排及保障措施共</w:t>
      </w: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rPr>
        <w:t xml:space="preserve">大项</w:t>
      </w:r>
      <w:r>
        <w:rPr>
          <w:rFonts w:hint="default" w:ascii="宋体" w:hAnsi="宋体" w:eastAsia="宋体" w:cs="宋体"/>
          <w:color w:val="auto"/>
          <w:sz w:val="24"/>
          <w:szCs w:val="24"/>
          <w:highlight w:val="none"/>
        </w:rPr>
        <w:t xml:space="preserve">。</w:t>
      </w:r>
      <w:r/>
    </w:p>
    <w:p>
      <w:pPr>
        <w:ind w:firstLine="480"/>
        <w:spacing w:line="560" w:lineRule="exact"/>
        <w:rPr>
          <w:rFonts w:hint="default" w:ascii="宋体" w:hAnsi="宋体" w:eastAsia="宋体" w:cs="宋体"/>
          <w:color w:val="auto"/>
          <w:sz w:val="24"/>
          <w:szCs w:val="24"/>
          <w:highlight w:val="none"/>
        </w:rPr>
      </w:pPr>
      <w:r>
        <w:rPr>
          <w:rFonts w:hint="default" w:ascii="宋体" w:hAnsi="宋体" w:eastAsia="宋体" w:cs="宋体"/>
          <w:b/>
          <w:bCs/>
          <w:color w:val="auto"/>
          <w:sz w:val="24"/>
          <w:szCs w:val="24"/>
          <w:highlight w:val="none"/>
        </w:rPr>
        <w:t xml:space="preserve">（1）对本项目的理解和把</w:t>
      </w:r>
      <w:bookmarkStart w:id="155" w:name="_GoBack"/>
      <w:r/>
      <w:bookmarkEnd w:id="155"/>
      <w:r>
        <w:rPr>
          <w:rFonts w:hint="default" w:ascii="宋体" w:hAnsi="宋体" w:eastAsia="宋体" w:cs="宋体"/>
          <w:b/>
          <w:bCs/>
          <w:color w:val="auto"/>
          <w:sz w:val="24"/>
          <w:szCs w:val="24"/>
          <w:highlight w:val="none"/>
        </w:rPr>
        <w:t xml:space="preserve">握方案</w:t>
      </w:r>
      <w:r>
        <w:rPr>
          <w:rFonts w:hint="eastAsia" w:ascii="宋体" w:hAnsi="宋体" w:cs="宋体"/>
          <w:b/>
          <w:bCs/>
          <w:color w:val="auto"/>
          <w:sz w:val="24"/>
          <w:szCs w:val="24"/>
          <w:highlight w:val="none"/>
          <w:lang w:eastAsia="zh-CN"/>
        </w:rPr>
        <w:t xml:space="preserve">：</w:t>
      </w:r>
      <w:r>
        <w:rPr>
          <w:rFonts w:hint="default" w:ascii="宋体" w:hAnsi="宋体" w:eastAsia="宋体" w:cs="宋体"/>
          <w:color w:val="auto"/>
          <w:sz w:val="24"/>
          <w:szCs w:val="24"/>
          <w:highlight w:val="none"/>
        </w:rPr>
        <w:t xml:space="preserve">其主要内容至少包含：项目核心需求解读</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准确识别三大服务范围的核心痛点（报告评审效率、过程质控精准度、专家支撑及时性），清晰阐述项目与盐城市土壤污染防治工作的契合点，结合苏环办〔2019〕309号等文件要求说明政策适配性①项目重难点分析</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精准识别关键难点（如高风险地块必查筛选、专家抽选合规性、系统上传时效性），并针对性提出初步应对思路，分析全面且贴合实际；②服务定位与目标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明确项目服务定位（全流程技术支撑、质量管控闭环），设定可量化的服务目标（如资料审查按时完成率 100%、抽查覆盖达标率 100%）。</w:t>
      </w:r>
      <w:r/>
    </w:p>
    <w:p>
      <w:pPr>
        <w:ind w:firstLine="480"/>
        <w:spacing w:line="560" w:lineRule="exact"/>
        <w:rPr>
          <w:rFonts w:hint="default" w:ascii="宋体" w:hAnsi="宋体" w:eastAsia="宋体" w:cs="宋体"/>
          <w:color w:val="auto"/>
          <w:sz w:val="24"/>
          <w:szCs w:val="24"/>
          <w:highlight w:val="none"/>
        </w:rPr>
      </w:pPr>
      <w:r>
        <w:rPr>
          <w:rFonts w:hint="default" w:ascii="宋体" w:hAnsi="宋体" w:eastAsia="宋体" w:cs="宋体"/>
          <w:b/>
          <w:bCs/>
          <w:color w:val="auto"/>
          <w:sz w:val="24"/>
          <w:szCs w:val="24"/>
          <w:highlight w:val="none"/>
        </w:rPr>
        <w:t xml:space="preserve">（2）拟开展的重点工作内容方案：</w:t>
      </w:r>
      <w:r>
        <w:rPr>
          <w:rFonts w:hint="default" w:ascii="宋体" w:hAnsi="宋体" w:eastAsia="宋体" w:cs="宋体"/>
          <w:color w:val="auto"/>
          <w:sz w:val="24"/>
          <w:szCs w:val="24"/>
          <w:highlight w:val="none"/>
        </w:rPr>
        <w:t xml:space="preserve">根据项目实际情况制定详细的各工作流程的质量保证方案，其主要内容至少包含：①报告评审技术支撑实施细则</w:t>
      </w:r>
      <w:r>
        <w:rPr>
          <w:rFonts w:hint="eastAsia" w:ascii="宋体" w:hAnsi="宋体" w:cs="宋体"/>
          <w:color w:val="auto"/>
          <w:sz w:val="24"/>
          <w:szCs w:val="24"/>
          <w:highlight w:val="none"/>
          <w:lang w:eastAsia="zh-CN"/>
        </w:rPr>
        <w:t xml:space="preserve">：细化资料审查、评审组织、费用支付、备案上传全流程操作步骤，明确各环节时间节点（如 3 个工作日审查、5 个工作日组织评审）、责任分工，可操作性强</w:t>
      </w:r>
      <w:r>
        <w:rPr>
          <w:rFonts w:hint="default" w:ascii="宋体" w:hAnsi="宋体" w:eastAsia="宋体" w:cs="宋体"/>
          <w:color w:val="auto"/>
          <w:sz w:val="24"/>
          <w:szCs w:val="24"/>
          <w:highlight w:val="none"/>
        </w:rPr>
        <w:t xml:space="preserve">；②过程质量控制执行方案</w:t>
      </w:r>
      <w:r>
        <w:rPr>
          <w:rFonts w:hint="eastAsia" w:ascii="宋体" w:hAnsi="宋体" w:cs="宋体"/>
          <w:color w:val="auto"/>
          <w:sz w:val="24"/>
          <w:szCs w:val="24"/>
          <w:highlight w:val="none"/>
          <w:lang w:eastAsia="zh-CN"/>
        </w:rPr>
        <w:t xml:space="preserve">：清晰界定必查 / 抽查地块筛选标准，明确监督检查环节（采样计划、现场采样、实验室检测）的具体实施流程、检查频次（每半年抽查）、抽查比例（5%），方案细化且符合《监督检查工作指南》要求</w:t>
      </w:r>
      <w:r>
        <w:rPr>
          <w:rFonts w:hint="default" w:ascii="宋体" w:hAnsi="宋体" w:eastAsia="宋体" w:cs="宋体"/>
          <w:color w:val="auto"/>
          <w:sz w:val="24"/>
          <w:szCs w:val="24"/>
          <w:highlight w:val="none"/>
        </w:rPr>
        <w:t xml:space="preserve">；③专家技术支撑保障</w:t>
      </w:r>
      <w:r>
        <w:rPr>
          <w:rFonts w:hint="eastAsia" w:ascii="宋体" w:hAnsi="宋体" w:cs="宋体"/>
          <w:color w:val="auto"/>
          <w:sz w:val="24"/>
          <w:szCs w:val="24"/>
          <w:highlight w:val="none"/>
          <w:lang w:eastAsia="zh-CN"/>
        </w:rPr>
        <w:t xml:space="preserve">：明确驻点人员配置（职称、经验）、驻点工作机制，细化资料核查、现场检查的响应流程，体现对土壤污染防治综合工作的支撑能力</w:t>
      </w:r>
      <w:r>
        <w:rPr>
          <w:rFonts w:hint="default" w:ascii="宋体" w:hAnsi="宋体" w:cs="宋体"/>
          <w:color w:val="auto"/>
          <w:sz w:val="24"/>
          <w:szCs w:val="24"/>
          <w:highlight w:val="none"/>
          <w:lang w:eastAsia="zh-CN"/>
        </w:rPr>
        <w:t xml:space="preserve">；④创新工作方法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提出优化工作效率的创新举措（如建立报告审查数字化台账、开发质控抽查数据分析模型等），具有实操性和推广价值</w:t>
      </w:r>
      <w:r>
        <w:rPr>
          <w:rFonts w:hint="default" w:ascii="宋体" w:hAnsi="宋体" w:eastAsia="宋体" w:cs="宋体"/>
          <w:color w:val="auto"/>
          <w:sz w:val="24"/>
          <w:szCs w:val="24"/>
          <w:highlight w:val="none"/>
        </w:rPr>
        <w:t xml:space="preserve">。</w:t>
      </w:r>
      <w:r/>
    </w:p>
    <w:p>
      <w:pPr>
        <w:ind w:firstLine="480"/>
        <w:spacing w:line="560" w:lineRule="exact"/>
        <w:rPr>
          <w:rFonts w:hint="default" w:ascii="宋体" w:hAnsi="宋体" w:eastAsia="宋体" w:cs="宋体"/>
          <w:color w:val="auto"/>
          <w:sz w:val="24"/>
          <w:szCs w:val="24"/>
          <w:highlight w:val="none"/>
        </w:rPr>
      </w:pPr>
      <w:r>
        <w:rPr>
          <w:rFonts w:hint="default" w:ascii="宋体" w:hAnsi="宋体" w:eastAsia="宋体" w:cs="宋体"/>
          <w:b/>
          <w:bCs/>
          <w:color w:val="auto"/>
          <w:sz w:val="24"/>
          <w:szCs w:val="24"/>
          <w:highlight w:val="none"/>
        </w:rPr>
        <w:t xml:space="preserve">（3）质量保证体系及措施:</w:t>
      </w:r>
      <w:r>
        <w:rPr>
          <w:rFonts w:hint="default" w:ascii="宋体" w:hAnsi="宋体" w:eastAsia="宋体" w:cs="宋体"/>
          <w:color w:val="auto"/>
          <w:sz w:val="24"/>
          <w:szCs w:val="24"/>
          <w:highlight w:val="none"/>
        </w:rPr>
        <w:t xml:space="preserve">根据项目实际情况制定详细的质量保证体系、进度保障措施，其主要内容至少包含：①质量管理制度建设</w:t>
      </w:r>
      <w:r>
        <w:rPr>
          <w:rFonts w:hint="eastAsia" w:ascii="宋体" w:hAnsi="宋体" w:cs="宋体"/>
          <w:color w:val="auto"/>
          <w:sz w:val="24"/>
          <w:szCs w:val="24"/>
          <w:highlight w:val="none"/>
          <w:lang w:eastAsia="zh-CN"/>
        </w:rPr>
        <w:t xml:space="preserve">：建立覆盖报告评审、过程质控、专家支撑全环节的质量管理制度（如资料审查双人复核制、专家意见核查机制），制度健全且贴合项目实际</w:t>
      </w:r>
      <w:r>
        <w:rPr>
          <w:rFonts w:hint="default" w:ascii="宋体" w:hAnsi="宋体" w:eastAsia="宋体" w:cs="宋体"/>
          <w:color w:val="auto"/>
          <w:sz w:val="24"/>
          <w:szCs w:val="24"/>
          <w:highlight w:val="none"/>
        </w:rPr>
        <w:t xml:space="preserve">；②人员保障措施</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明确驻点人员稳定性保障方案（如人员更换审批流程、后备人员储备），提供参与人员的职称、经验证明材料，人员配置满足项目要求；③过程质控措施</w:t>
      </w:r>
      <w:r>
        <w:rPr>
          <w:rFonts w:hint="eastAsia" w:ascii="宋体" w:hAnsi="宋体" w:cs="宋体"/>
          <w:color w:val="auto"/>
          <w:sz w:val="24"/>
          <w:szCs w:val="24"/>
          <w:highlight w:val="none"/>
          <w:lang w:eastAsia="zh-CN"/>
        </w:rPr>
        <w:t xml:space="preserve">：针对关键环节（如现场采样监督、实验室检测核查）制定具体质控手段（如现场拍照留痕、检测数据溯源核查），措施可落地、可追溯</w:t>
      </w:r>
      <w:r>
        <w:rPr>
          <w:rFonts w:hint="default" w:ascii="宋体" w:hAnsi="宋体" w:eastAsia="宋体" w:cs="宋体"/>
          <w:color w:val="auto"/>
          <w:sz w:val="24"/>
          <w:szCs w:val="24"/>
          <w:highlight w:val="none"/>
        </w:rPr>
        <w:t xml:space="preserve">；④问题整改与追溯</w:t>
      </w:r>
      <w:r>
        <w:rPr>
          <w:rFonts w:hint="eastAsia" w:ascii="宋体" w:hAnsi="宋体" w:cs="宋体"/>
          <w:color w:val="auto"/>
          <w:sz w:val="24"/>
          <w:szCs w:val="24"/>
          <w:highlight w:val="none"/>
          <w:lang w:eastAsia="zh-CN"/>
        </w:rPr>
        <w:t xml:space="preserve">：建立质量问题发现、整改、复核的闭环机制，明确整改时限和责任主体，具备完整的质量追溯体系（如档案留存、系统记录）</w:t>
      </w:r>
      <w:r>
        <w:rPr>
          <w:rFonts w:hint="default" w:ascii="宋体" w:hAnsi="宋体" w:eastAsia="宋体" w:cs="宋体"/>
          <w:color w:val="auto"/>
          <w:sz w:val="24"/>
          <w:szCs w:val="24"/>
          <w:highlight w:val="none"/>
        </w:rPr>
        <w:t xml:space="preserve">。</w:t>
      </w:r>
      <w:r/>
    </w:p>
    <w:p>
      <w:pPr>
        <w:ind w:firstLine="480"/>
        <w:spacing w:line="560" w:lineRule="exact"/>
        <w:rPr>
          <w:rFonts w:hint="eastAsia" w:ascii="宋体" w:hAnsi="宋体" w:eastAsia="宋体" w:cs="宋体"/>
          <w:color w:val="auto"/>
          <w:sz w:val="24"/>
          <w:szCs w:val="24"/>
          <w:highlight w:val="none"/>
          <w:lang w:eastAsia="zh-CN"/>
        </w:rPr>
      </w:pPr>
      <w:r>
        <w:rPr>
          <w:rFonts w:hint="default" w:ascii="宋体" w:hAnsi="宋体" w:eastAsia="宋体" w:cs="宋体"/>
          <w:b/>
          <w:bCs/>
          <w:color w:val="auto"/>
          <w:sz w:val="24"/>
          <w:szCs w:val="24"/>
          <w:highlight w:val="none"/>
        </w:rPr>
        <w:t xml:space="preserve">（4）进度安排及保障措施：</w:t>
      </w:r>
      <w:r>
        <w:rPr>
          <w:rFonts w:hint="default" w:ascii="宋体" w:hAnsi="宋体" w:eastAsia="宋体" w:cs="宋体"/>
          <w:color w:val="auto"/>
          <w:sz w:val="24"/>
          <w:szCs w:val="24"/>
          <w:highlight w:val="none"/>
        </w:rPr>
        <w:t xml:space="preserve">制定详细的进度安排及保障措施；根据项目实际情况制定详细的各工作计划的安排及保障措施，其主要内容至少包含：①进度计划合理性</w:t>
      </w:r>
      <w:r>
        <w:rPr>
          <w:rFonts w:hint="eastAsia" w:ascii="宋体" w:hAnsi="宋体" w:cs="宋体"/>
          <w:color w:val="auto"/>
          <w:sz w:val="24"/>
          <w:szCs w:val="24"/>
          <w:highlight w:val="none"/>
          <w:lang w:eastAsia="zh-CN"/>
        </w:rPr>
        <w:t xml:space="preserve">：按年度 / 季度 / 月度分解工作任务（如每半年一次抽查、评审流程按时限推进），进度节点与项目要求一致，计划科学可行</w:t>
      </w:r>
      <w:r>
        <w:rPr>
          <w:rFonts w:hint="default" w:ascii="宋体" w:hAnsi="宋体" w:eastAsia="宋体" w:cs="宋体"/>
          <w:color w:val="auto"/>
          <w:sz w:val="24"/>
          <w:szCs w:val="24"/>
          <w:highlight w:val="none"/>
        </w:rPr>
        <w:t xml:space="preserve">；②进度保障措施</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制定人员、物资、技术等方面的保障方案（如专人负责进度跟踪、应急响应机制），能有效应对突发情况（如报告集中上报、专家临时调整）。</w:t>
      </w:r>
      <w:r/>
    </w:p>
    <w:p>
      <w:pPr>
        <w:ind w:firstLine="482"/>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注：采购标的的所属行业为</w:t>
      </w:r>
      <w:r>
        <w:rPr>
          <w:rFonts w:hint="eastAsia" w:ascii="宋体" w:hAnsi="宋体" w:cs="宋体"/>
          <w:b/>
          <w:color w:val="auto"/>
          <w:sz w:val="24"/>
          <w:highlight w:val="none"/>
          <w:u w:val="single"/>
        </w:rPr>
        <w:t xml:space="preserve"> 其他未列明行业 </w:t>
      </w:r>
      <w:r>
        <w:rPr>
          <w:rFonts w:hint="eastAsia" w:ascii="宋体" w:hAnsi="宋体" w:cs="宋体"/>
          <w:b/>
          <w:color w:val="auto"/>
          <w:sz w:val="24"/>
          <w:highlight w:val="none"/>
        </w:rPr>
        <w:t xml:space="preserve">，根据《工业和信息化部、国家统计局、国家发展和改革委员会、财政部关于印发中小企业划型标准规定的通知》（工信部联企业[2011]300号）规定的划分标准填写。</w:t>
      </w:r>
      <w:r/>
    </w:p>
    <w:p>
      <w:pPr>
        <w:pStyle w:val="986"/>
        <w:ind w:left="2600" w:hanging="1200"/>
        <w:rPr>
          <w:rFonts w:hint="eastAsia"/>
          <w:color w:val="auto"/>
          <w:highlight w:val="none"/>
        </w:rPr>
        <w:sectPr>
          <w:footerReference w:type="default" r:id="rId12"/>
          <w:footnotePr/>
          <w:endnotePr/>
          <w:type w:val="nextPage"/>
          <w:pgSz w:w="11905" w:h="16838" w:orient="portrait"/>
          <w:pgMar w:top="607" w:right="850" w:bottom="811" w:left="1134" w:header="624" w:footer="992" w:gutter="0"/>
          <w:cols w:num="1" w:sep="0" w:space="1701" w:equalWidth="1"/>
          <w:docGrid w:linePitch="360"/>
        </w:sectPr>
      </w:pPr>
      <w:r>
        <w:rPr>
          <w:rFonts w:hint="eastAsia"/>
          <w:color w:val="auto"/>
          <w:highlight w:val="none"/>
        </w:rPr>
      </w:r>
      <w:r/>
    </w:p>
    <w:p>
      <w:pPr>
        <w:jc w:val="center"/>
        <w:spacing w:before="50" w:line="360" w:lineRule="auto"/>
        <w:rPr>
          <w:rFonts w:hint="eastAsia" w:ascii="黑体" w:hAnsi="Arial" w:eastAsia="黑体"/>
          <w:color w:val="auto"/>
          <w:sz w:val="44"/>
          <w:szCs w:val="44"/>
          <w:highlight w:val="none"/>
        </w:rPr>
      </w:pPr>
      <w:r>
        <w:rPr>
          <w:rFonts w:hint="eastAsia" w:ascii="黑体" w:hAnsi="Arial" w:eastAsia="黑体"/>
          <w:color w:val="auto"/>
          <w:sz w:val="44"/>
          <w:szCs w:val="44"/>
          <w:highlight w:val="none"/>
        </w:rPr>
        <w:t xml:space="preserve">第五章</w:t>
      </w:r>
      <w:r>
        <w:rPr>
          <w:rFonts w:ascii="黑体" w:hAnsi="Arial" w:eastAsia="黑体"/>
          <w:color w:val="auto"/>
          <w:sz w:val="44"/>
          <w:szCs w:val="44"/>
          <w:highlight w:val="none"/>
        </w:rPr>
        <w:t xml:space="preserve">  </w:t>
      </w:r>
      <w:r>
        <w:rPr>
          <w:rFonts w:hint="eastAsia" w:ascii="黑体" w:hAnsi="Arial" w:eastAsia="黑体"/>
          <w:color w:val="auto"/>
          <w:sz w:val="44"/>
          <w:szCs w:val="44"/>
          <w:highlight w:val="none"/>
          <w:lang w:eastAsia="zh-CN"/>
        </w:rPr>
        <w:t xml:space="preserve">评审方法与评审标准</w:t>
      </w:r>
      <w:r/>
    </w:p>
    <w:p>
      <w:pPr>
        <w:ind w:firstLine="477"/>
        <w:spacing w:line="360" w:lineRule="auto"/>
        <w:rPr>
          <w:rFonts w:hint="eastAsia" w:ascii="宋体" w:hAnsi="宋体" w:cs="宋体"/>
          <w:b/>
          <w:bCs/>
          <w:color w:val="auto"/>
          <w:sz w:val="24"/>
          <w:szCs w:val="24"/>
          <w:highlight w:val="none"/>
        </w:rPr>
      </w:pPr>
      <w:r/>
      <w:bookmarkStart w:id="138" w:name="OLE_LINK21"/>
      <w:r>
        <w:rPr>
          <w:rFonts w:hint="eastAsia" w:ascii="宋体" w:hAnsi="宋体" w:cs="宋体"/>
          <w:b/>
          <w:color w:val="auto"/>
          <w:sz w:val="24"/>
          <w:szCs w:val="24"/>
          <w:highlight w:val="none"/>
        </w:rPr>
        <w:t xml:space="preserve">一、</w:t>
      </w:r>
      <w:r>
        <w:rPr>
          <w:rFonts w:hint="eastAsia" w:ascii="宋体" w:hAnsi="宋体" w:cs="宋体"/>
          <w:b/>
          <w:bCs/>
          <w:color w:val="auto"/>
          <w:sz w:val="24"/>
          <w:szCs w:val="24"/>
          <w:highlight w:val="none"/>
        </w:rPr>
        <w:t xml:space="preserve">定标原则</w:t>
      </w:r>
      <w:r/>
    </w:p>
    <w:p>
      <w:pPr>
        <w:pStyle w:val="1016"/>
        <w:jc w:val="both"/>
        <w:keepLines w:val="0"/>
        <w:keepNext w:val="0"/>
        <w:pageBreakBefore w:val="0"/>
        <w:spacing w:before="0" w:after="0" w:line="5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1016"/>
        <w:jc w:val="both"/>
        <w:keepLines w:val="0"/>
        <w:keepNext w:val="0"/>
        <w:pageBreakBefore w:val="0"/>
        <w:spacing w:before="0" w:after="0" w:line="560" w:lineRule="exact"/>
        <w:widowControl w:val="off"/>
        <w:rPr>
          <w:rFonts w:hint="eastAsia" w:ascii="宋体" w:hAnsi="宋体" w:cs="宋体"/>
          <w:b/>
          <w:color w:val="auto"/>
          <w:highlight w:val="none"/>
        </w:rPr>
      </w:pPr>
      <w:r>
        <w:rPr>
          <w:rFonts w:hint="eastAsia" w:ascii="宋体" w:hAnsi="宋体" w:cs="宋体"/>
          <w:b/>
          <w:color w:val="auto"/>
          <w:highlight w:val="none"/>
        </w:rPr>
        <w:t xml:space="preserve">政府采购政策功能落实</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1、小微型企业价格扣除</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bCs/>
          <w:color w:val="auto"/>
          <w:sz w:val="24"/>
          <w:highlight w:val="none"/>
        </w:rPr>
        <w:t xml:space="preserve">本项目专门面向中小微企业采购，不再对小型和微型企业产品给予价格扣除</w:t>
      </w:r>
      <w:r>
        <w:rPr>
          <w:rFonts w:hint="eastAsia" w:ascii="宋体" w:hAnsi="宋体" w:eastAsia="宋体" w:cs="宋体"/>
          <w:color w:val="auto"/>
          <w:sz w:val="24"/>
          <w:highlight w:val="none"/>
        </w:rPr>
        <w:t xml:space="preserve">； </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（2）供应商需按照采购文件的要求提供相应的《中小企业声明函》。</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（3）企业标准请参照《关于印发中小企业划型标准规定的通知》（工信部联企业[2011]300号）文件规定自行填写。</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2、残疾人福利单位价格扣除</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szCs w:val="20"/>
          <w:highlight w:val="none"/>
        </w:rPr>
        <w:t xml:space="preserve">本项目对残疾人福利性单位视同小型、微型企业</w:t>
      </w:r>
      <w:r>
        <w:rPr>
          <w:rFonts w:hint="eastAsia" w:ascii="宋体" w:hAnsi="宋体" w:eastAsia="宋体" w:cs="宋体"/>
          <w:color w:val="auto"/>
          <w:sz w:val="24"/>
          <w:highlight w:val="none"/>
        </w:rPr>
        <w:t xml:space="preserve">。</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（2）残疾人福利单位需按照采购文件的要求提供《残疾人福利性单位声明函》。</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（3）残疾人福利单位标准请参照《关于促进残疾人就业政府采购政策的通知》（财库〔2017〕141号）。</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3、监狱和戒毒企业价格扣除</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bCs/>
          <w:color w:val="auto"/>
          <w:sz w:val="24"/>
          <w:highlight w:val="none"/>
        </w:rPr>
        <w:t xml:space="preserve">本项目对监狱和戒毒企业（简称监狱企业）视同小型、微型企业</w:t>
      </w:r>
      <w:r>
        <w:rPr>
          <w:rFonts w:hint="eastAsia" w:ascii="宋体" w:hAnsi="宋体" w:eastAsia="宋体" w:cs="宋体"/>
          <w:color w:val="auto"/>
          <w:sz w:val="24"/>
          <w:highlight w:val="none"/>
        </w:rPr>
        <w:t xml:space="preserve">。</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（3）监狱企业标准请参照《关于政府采购支持监狱企业发展有关问题的通知》（财库[2014]68号）。</w:t>
      </w:r>
      <w:r/>
    </w:p>
    <w:p>
      <w:pPr>
        <w:pStyle w:val="1016"/>
        <w:jc w:val="both"/>
        <w:keepLines w:val="0"/>
        <w:keepNext w:val="0"/>
        <w:pageBreakBefore w:val="0"/>
        <w:spacing w:before="0" w:after="0" w:line="5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987"/>
        <w:ind w:firstLine="480"/>
        <w:jc w:val="both"/>
        <w:keepLines w:val="0"/>
        <w:keepNext w:val="0"/>
        <w:pageBreakBefore w:val="0"/>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highlight w:val="none"/>
        </w:rPr>
        <w:t xml:space="preserve">如属政府强制采购产品未提供认证证书的或认证证书提供不全的将视为未实质性响应采购要求</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其他条件相同情况下，应当优先采购节能产品、环境标志产品。</w:t>
      </w:r>
      <w:r/>
    </w:p>
    <w:p>
      <w:pPr>
        <w:ind w:firstLine="477"/>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二、评标标准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本项目评分总分值为100分。</w:t>
      </w:r>
      <w:r/>
    </w:p>
    <w:tbl>
      <w:tblPr>
        <w:tblStyle w:val="780"/>
        <w:tblW w:w="94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9"/>
        <w:gridCol w:w="975"/>
        <w:gridCol w:w="6966"/>
      </w:tblGrid>
      <w:tr>
        <w:trPr>
          <w:jc w:val="center"/>
          <w:trHeight w:val="720"/>
        </w:trPr>
        <w:tc>
          <w:tcPr>
            <w:tcW w:w="1509" w:type="dxa"/>
            <w:vAlign w:val="center"/>
            <w:textDirection w:val="lrTb"/>
            <w:noWrap w:val="false"/>
          </w:tcPr>
          <w:p>
            <w:pPr>
              <w:jc w:val="cente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评分项目</w:t>
            </w:r>
            <w:r/>
          </w:p>
        </w:tc>
        <w:tc>
          <w:tcPr>
            <w:tcW w:w="975" w:type="dxa"/>
            <w:vAlign w:val="center"/>
            <w:textDirection w:val="lrTb"/>
            <w:noWrap w:val="false"/>
          </w:tcPr>
          <w:p>
            <w:pPr>
              <w:jc w:val="cente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分值</w:t>
            </w:r>
            <w:r/>
          </w:p>
        </w:tc>
        <w:tc>
          <w:tcPr>
            <w:tcW w:w="6966" w:type="dxa"/>
            <w:vAlign w:val="center"/>
            <w:textDirection w:val="lrTb"/>
            <w:noWrap w:val="false"/>
          </w:tcPr>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评审标准</w:t>
            </w:r>
            <w:r/>
          </w:p>
        </w:tc>
      </w:tr>
      <w:tr>
        <w:trPr>
          <w:jc w:val="center"/>
          <w:trHeight w:val="832"/>
        </w:trPr>
        <w:tc>
          <w:tcPr>
            <w:tcW w:w="1509" w:type="dxa"/>
            <w:vAlign w:val="center"/>
            <w:textDirection w:val="lrTb"/>
            <w:noWrap w:val="false"/>
          </w:tcPr>
          <w:p>
            <w:pPr>
              <w:jc w:val="center"/>
              <w:keepLines w:val="0"/>
              <w:keepNext w:val="0"/>
              <w:pageBreakBefore w:val="0"/>
              <w:spacing w:line="24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投标报价</w:t>
            </w:r>
            <w:r/>
          </w:p>
        </w:tc>
        <w:tc>
          <w:tcPr>
            <w:tcW w:w="975" w:type="dxa"/>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6966" w:type="dxa"/>
            <w:vAlign w:val="center"/>
            <w:textDirection w:val="lrTb"/>
            <w:noWrap w:val="false"/>
          </w:tcPr>
          <w:p>
            <w:pPr>
              <w:ind w:firstLine="47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统一采用低价优先法计算，即满足磋商文件要求且最终报价最低的供应商的价格为磋商基准价，其价格分为满分。其他供应商的价格分统一按照下列公式计算：磋商报价得分=（磋商基准价/最终磋商报价）×</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r>
        <w:trPr>
          <w:jc w:val="center"/>
          <w:trHeight w:val="832"/>
        </w:trPr>
        <w:tc>
          <w:tcPr>
            <w:tcW w:w="15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综合实力</w:t>
            </w:r>
            <w:r/>
          </w:p>
        </w:tc>
        <w:tc>
          <w:tcPr>
            <w:tcW w:w="975" w:type="dxa"/>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w:t>
            </w:r>
            <w:r/>
          </w:p>
        </w:tc>
        <w:tc>
          <w:tcPr>
            <w:tcW w:w="6966" w:type="dxa"/>
            <w:vAlign w:val="center"/>
            <w:textDirection w:val="lrTb"/>
            <w:noWrap w:val="false"/>
          </w:tcPr>
          <w:p>
            <w:pPr>
              <w:ind w:firstLine="47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TW" w:eastAsia="zh-TW"/>
              </w:rPr>
              <w:t xml:space="preserve">投标人具备</w:t>
            </w:r>
            <w:r>
              <w:rPr>
                <w:rFonts w:hint="eastAsia" w:ascii="宋体" w:hAnsi="宋体" w:eastAsia="宋体" w:cs="宋体"/>
                <w:color w:val="auto"/>
                <w:sz w:val="24"/>
                <w:szCs w:val="24"/>
                <w:highlight w:val="none"/>
                <w:lang w:val="zh-TW" w:eastAsia="zh-CN"/>
              </w:rPr>
              <w:t xml:space="preserve">有效期内的</w:t>
            </w:r>
            <w:r>
              <w:rPr>
                <w:rFonts w:hint="eastAsia" w:ascii="宋体" w:hAnsi="宋体" w:eastAsia="宋体" w:cs="宋体"/>
                <w:color w:val="auto"/>
                <w:sz w:val="24"/>
                <w:szCs w:val="24"/>
                <w:highlight w:val="none"/>
                <w:lang w:val="zh-TW" w:eastAsia="zh-TW"/>
              </w:rPr>
              <w:t xml:space="preserve">质量管理体系认证证书、环境管理体系认证证书、职业健康安全管理体系认证证书的，每有一个得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TW"/>
              </w:rPr>
              <w:t xml:space="preserve">分</w:t>
            </w:r>
            <w:r>
              <w:rPr>
                <w:rFonts w:hint="eastAsia" w:ascii="宋体" w:hAnsi="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TW" w:eastAsia="zh-TW"/>
              </w:rPr>
              <w:t xml:space="preserve">分</w:t>
            </w:r>
            <w:r>
              <w:rPr>
                <w:rFonts w:hint="eastAsia" w:ascii="宋体" w:hAnsi="宋体" w:cs="宋体"/>
                <w:color w:val="auto"/>
                <w:sz w:val="24"/>
                <w:szCs w:val="24"/>
                <w:highlight w:val="none"/>
                <w:lang w:val="zh-TW" w:eastAsia="zh-CN"/>
              </w:rPr>
              <w:t xml:space="preserve">。</w:t>
            </w:r>
            <w:r/>
          </w:p>
          <w:p>
            <w:pPr>
              <w:ind w:firstLine="472"/>
              <w:jc w:val="both"/>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时提供上证书原件的扫描件，同时须提供上述证书在全国认证认可信息公共服务平台（http://cx.cnca.cn/CertECloud/index/index/page?currentPosition=）查询页面完整截图，投标人应当确保证书开标当天处于有效期内，否则不予认可。</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TW"/>
              </w:rPr>
              <w:t xml:space="preserve">.项目负责人具有环保类</w:t>
            </w:r>
            <w:r>
              <w:rPr>
                <w:rFonts w:hint="eastAsia" w:ascii="宋体" w:hAnsi="宋体" w:cs="宋体"/>
                <w:color w:val="auto"/>
                <w:sz w:val="24"/>
                <w:szCs w:val="24"/>
                <w:highlight w:val="none"/>
                <w:lang w:val="en-US" w:eastAsia="zh-CN"/>
              </w:rPr>
              <w:t xml:space="preserve">或化工类</w:t>
            </w:r>
            <w:r>
              <w:rPr>
                <w:rFonts w:hint="eastAsia" w:ascii="宋体" w:hAnsi="宋体" w:eastAsia="宋体" w:cs="宋体"/>
                <w:color w:val="auto"/>
                <w:sz w:val="24"/>
                <w:szCs w:val="24"/>
                <w:highlight w:val="none"/>
                <w:lang w:val="zh-TW" w:eastAsia="zh-TW"/>
              </w:rPr>
              <w:t xml:space="preserve">高级职称</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或副研究员专业技术职称</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CN"/>
              </w:rPr>
              <w:t xml:space="preserve">及</w:t>
            </w:r>
            <w:r>
              <w:rPr>
                <w:rFonts w:hint="eastAsia" w:ascii="宋体" w:hAnsi="宋体" w:eastAsia="宋体" w:cs="宋体"/>
                <w:color w:val="auto"/>
                <w:sz w:val="24"/>
                <w:szCs w:val="24"/>
                <w:highlight w:val="none"/>
                <w:lang w:val="zh-TW" w:eastAsia="zh-CN"/>
              </w:rPr>
              <w:t xml:space="preserve">以上</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TW" w:eastAsia="zh-TW"/>
              </w:rPr>
              <w:t xml:space="preserve">，得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TW" w:eastAsia="zh-TW"/>
              </w:rPr>
              <w:t xml:space="preserve">分；具有环保类</w:t>
            </w:r>
            <w:r>
              <w:rPr>
                <w:rFonts w:hint="eastAsia" w:ascii="宋体" w:hAnsi="宋体" w:cs="宋体"/>
                <w:color w:val="auto"/>
                <w:sz w:val="24"/>
                <w:szCs w:val="24"/>
                <w:highlight w:val="none"/>
                <w:lang w:val="en-US" w:eastAsia="zh-CN"/>
              </w:rPr>
              <w:t xml:space="preserve">或化工类</w:t>
            </w:r>
            <w:r>
              <w:rPr>
                <w:rFonts w:hint="eastAsia" w:ascii="宋体" w:hAnsi="宋体" w:eastAsia="宋体" w:cs="宋体"/>
                <w:color w:val="auto"/>
                <w:sz w:val="24"/>
                <w:szCs w:val="24"/>
                <w:highlight w:val="none"/>
                <w:lang w:val="zh-TW" w:eastAsia="zh-TW"/>
              </w:rPr>
              <w:t xml:space="preserve">中级职称</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TW" w:eastAsia="zh-TW"/>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TW"/>
              </w:rPr>
              <w:t xml:space="preserve">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TW" w:eastAsia="zh-TW"/>
              </w:rPr>
              <w:t xml:space="preserve">分。</w:t>
            </w:r>
            <w:r/>
          </w:p>
          <w:p>
            <w:pPr>
              <w:ind w:firstLine="472"/>
              <w:jc w:val="both"/>
              <w:keepLines w:val="0"/>
              <w:keepNext w:val="0"/>
              <w:pageBreakBefore w:val="0"/>
              <w:spacing w:line="400" w:lineRule="exact"/>
              <w:widowControl w:val="off"/>
              <w:rPr>
                <w:color w:val="auto"/>
                <w:sz w:val="28"/>
                <w:highlight w:val="none"/>
              </w:rPr>
            </w:pPr>
            <w:r>
              <w:rPr>
                <w:rFonts w:ascii="宋体" w:hAnsi="宋体" w:eastAsia="宋体" w:cs="宋体"/>
                <w:b/>
                <w:color w:val="auto"/>
                <w:sz w:val="24"/>
                <w:highlight w:val="none"/>
              </w:rPr>
              <w:t xml:space="preserve">注：投标时须提供相关证书原件的扫描件，同时提供项目负责人在</w:t>
            </w:r>
            <w:r>
              <w:rPr>
                <w:rFonts w:ascii="宋体" w:hAnsi="宋体" w:eastAsia="宋体" w:cs="宋体"/>
                <w:b/>
                <w:color w:val="auto"/>
                <w:sz w:val="24"/>
                <w:highlight w:val="none"/>
              </w:rPr>
              <w:t xml:space="preserve">公告</w:t>
            </w:r>
            <w:r>
              <w:rPr>
                <w:rFonts w:ascii="宋体" w:hAnsi="宋体" w:eastAsia="宋体" w:cs="宋体"/>
                <w:b/>
                <w:color w:val="auto"/>
                <w:sz w:val="24"/>
                <w:highlight w:val="none"/>
              </w:rPr>
              <w:t xml:space="preserve">发布</w:t>
            </w:r>
            <w:r>
              <w:rPr>
                <w:rFonts w:ascii="宋体" w:hAnsi="宋体" w:eastAsia="宋体" w:cs="宋体"/>
                <w:b/>
                <w:color w:val="auto"/>
                <w:sz w:val="24"/>
                <w:highlight w:val="none"/>
              </w:rPr>
              <w:t xml:space="preserve">前</w:t>
            </w:r>
            <w:r>
              <w:rPr>
                <w:rFonts w:ascii="宋体" w:hAnsi="宋体" w:eastAsia="宋体" w:cs="宋体"/>
                <w:b/>
                <w:color w:val="auto"/>
                <w:sz w:val="24"/>
                <w:highlight w:val="none"/>
              </w:rPr>
              <w:t xml:space="preserve">三个月</w:t>
            </w:r>
            <w:r>
              <w:rPr>
                <w:rFonts w:ascii="宋体" w:hAnsi="宋体" w:eastAsia="宋体" w:cs="宋体"/>
                <w:b/>
                <w:color w:val="auto"/>
                <w:sz w:val="24"/>
                <w:highlight w:val="none"/>
              </w:rPr>
              <w:t xml:space="preserve">内</w:t>
            </w:r>
            <w:r>
              <w:rPr>
                <w:rFonts w:ascii="宋体" w:hAnsi="宋体" w:eastAsia="宋体" w:cs="宋体"/>
                <w:b/>
                <w:color w:val="auto"/>
                <w:sz w:val="24"/>
                <w:highlight w:val="none"/>
              </w:rPr>
              <w:t xml:space="preserve">任意</w:t>
            </w:r>
            <w:r>
              <w:rPr>
                <w:rFonts w:ascii="宋体" w:hAnsi="宋体" w:eastAsia="宋体" w:cs="宋体"/>
                <w:b/>
                <w:color w:val="auto"/>
                <w:sz w:val="24"/>
                <w:highlight w:val="none"/>
              </w:rPr>
              <w:t xml:space="preserve">1个月</w:t>
            </w:r>
            <w:r>
              <w:rPr>
                <w:rFonts w:ascii="宋体" w:hAnsi="宋体" w:eastAsia="宋体" w:cs="宋体"/>
                <w:b/>
                <w:color w:val="auto"/>
                <w:sz w:val="24"/>
                <w:highlight w:val="none"/>
              </w:rPr>
              <w:t xml:space="preserve">在投标人单位缴纳社保的相关证明材料，未提供的或提供不全的不得分；不接受退休返聘人员。</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TW" w:eastAsia="zh-TW"/>
              </w:rPr>
              <w:t xml:space="preserve">.项目组人员（除项目负责人外）具备环保类</w:t>
            </w:r>
            <w:r>
              <w:rPr>
                <w:rFonts w:hint="eastAsia" w:ascii="宋体" w:hAnsi="宋体" w:cs="宋体"/>
                <w:color w:val="auto"/>
                <w:sz w:val="24"/>
                <w:szCs w:val="24"/>
                <w:highlight w:val="none"/>
                <w:lang w:val="en-US" w:eastAsia="zh-CN"/>
              </w:rPr>
              <w:t xml:space="preserve">中级及以上</w:t>
            </w:r>
            <w:r>
              <w:rPr>
                <w:rFonts w:hint="eastAsia" w:ascii="宋体" w:hAnsi="宋体" w:eastAsia="宋体" w:cs="宋体"/>
                <w:color w:val="auto"/>
                <w:sz w:val="24"/>
                <w:szCs w:val="24"/>
                <w:highlight w:val="none"/>
                <w:lang w:val="zh-TW" w:eastAsia="zh-TW"/>
              </w:rPr>
              <w:t xml:space="preserve">职称的，配备</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zh-TW" w:eastAsia="zh-TW"/>
              </w:rPr>
              <w:t xml:space="preserve">人得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TW" w:eastAsia="zh-TW"/>
              </w:rPr>
              <w:t xml:space="preserve">分，配备</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zh-TW" w:eastAsia="zh-TW"/>
              </w:rPr>
              <w:t xml:space="preserve">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TW" w:eastAsia="zh-TW"/>
              </w:rPr>
              <w:t xml:space="preserve">分，配备</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zh-TW" w:eastAsia="zh-TW"/>
              </w:rPr>
              <w:t xml:space="preserve">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TW"/>
              </w:rPr>
              <w:t xml:space="preserve">分</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TW" w:eastAsia="zh-TW"/>
              </w:rPr>
              <w:t xml:space="preserve">分。</w:t>
            </w:r>
            <w:r/>
          </w:p>
          <w:p>
            <w:pPr>
              <w:ind w:firstLine="472"/>
              <w:jc w:val="both"/>
              <w:keepLines w:val="0"/>
              <w:keepNext w:val="0"/>
              <w:pageBreakBefore w:val="0"/>
              <w:spacing w:line="400" w:lineRule="exact"/>
              <w:widowControl w:val="off"/>
              <w:rPr>
                <w:rFonts w:ascii="宋体" w:hAnsi="宋体" w:eastAsia="宋体" w:cs="宋体"/>
                <w:b/>
                <w:color w:val="auto"/>
                <w:sz w:val="24"/>
                <w:highlight w:val="none"/>
              </w:rPr>
            </w:pPr>
            <w:r>
              <w:rPr>
                <w:rFonts w:ascii="宋体" w:hAnsi="宋体" w:eastAsia="宋体" w:cs="宋体"/>
                <w:b/>
                <w:color w:val="auto"/>
                <w:sz w:val="24"/>
                <w:highlight w:val="none"/>
              </w:rPr>
              <w:t xml:space="preserve">注：投标时须提供相关证书原件的扫描件，同时提供项目组成员（除项目负责人外）在公告</w:t>
            </w:r>
            <w:r>
              <w:rPr>
                <w:rFonts w:ascii="宋体" w:hAnsi="宋体" w:eastAsia="宋体" w:cs="宋体"/>
                <w:b/>
                <w:color w:val="auto"/>
                <w:sz w:val="24"/>
                <w:highlight w:val="none"/>
              </w:rPr>
              <w:t xml:space="preserve">发布</w:t>
            </w:r>
            <w:r>
              <w:rPr>
                <w:rFonts w:ascii="宋体" w:hAnsi="宋体" w:eastAsia="宋体" w:cs="宋体"/>
                <w:b/>
                <w:color w:val="auto"/>
                <w:sz w:val="24"/>
                <w:highlight w:val="none"/>
              </w:rPr>
              <w:t xml:space="preserve">前</w:t>
            </w:r>
            <w:r>
              <w:rPr>
                <w:rFonts w:ascii="宋体" w:hAnsi="宋体" w:eastAsia="宋体" w:cs="宋体"/>
                <w:b/>
                <w:color w:val="auto"/>
                <w:sz w:val="24"/>
                <w:highlight w:val="none"/>
              </w:rPr>
              <w:t xml:space="preserve">三个月</w:t>
            </w:r>
            <w:r>
              <w:rPr>
                <w:rFonts w:ascii="宋体" w:hAnsi="宋体" w:eastAsia="宋体" w:cs="宋体"/>
                <w:b/>
                <w:color w:val="auto"/>
                <w:sz w:val="24"/>
                <w:highlight w:val="none"/>
              </w:rPr>
              <w:t xml:space="preserve">内</w:t>
            </w:r>
            <w:r>
              <w:rPr>
                <w:rFonts w:ascii="宋体" w:hAnsi="宋体" w:eastAsia="宋体" w:cs="宋体"/>
                <w:b/>
                <w:color w:val="auto"/>
                <w:sz w:val="24"/>
                <w:highlight w:val="none"/>
              </w:rPr>
              <w:t xml:space="preserve">任意</w:t>
            </w:r>
            <w:r>
              <w:rPr>
                <w:rFonts w:ascii="宋体" w:hAnsi="宋体" w:eastAsia="宋体" w:cs="宋体"/>
                <w:b/>
                <w:color w:val="auto"/>
                <w:sz w:val="24"/>
                <w:highlight w:val="none"/>
              </w:rPr>
              <w:t xml:space="preserve">1个月在投标人单位缴纳社保的相关证明材料</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rPr>
              <w:t xml:space="preserve">退休返聘人员，需提供该人员退休证明、本单位与其签订的聘用合同及为其办理的人身意外保险的证明材料。</w:t>
            </w:r>
            <w:r>
              <w:rPr>
                <w:rFonts w:ascii="宋体" w:hAnsi="宋体" w:eastAsia="宋体" w:cs="宋体"/>
                <w:b/>
                <w:color w:val="auto"/>
                <w:sz w:val="24"/>
                <w:highlight w:val="none"/>
              </w:rPr>
              <w:t xml:space="preserve">未提供的或提供不全的不得分。</w:t>
            </w:r>
            <w:r/>
          </w:p>
          <w:p>
            <w:pPr>
              <w:ind w:firstLine="470"/>
              <w:keepLines w:val="0"/>
              <w:keepNext w:val="0"/>
              <w:pageBreakBefore w:val="0"/>
              <w:spacing w:line="400" w:lineRule="exact"/>
              <w:widowControl w:val="off"/>
              <w:rPr>
                <w:rFonts w:hint="eastAsia" w:ascii="宋体" w:hAnsi="宋体" w:cs="宋体"/>
                <w:color w:val="auto"/>
                <w:sz w:val="24"/>
                <w:szCs w:val="24"/>
                <w:highlight w:val="none"/>
                <w:lang w:val="zh-TW"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TW" w:eastAsia="zh-TW"/>
              </w:rPr>
              <w:t xml:space="preserve">投标人</w:t>
            </w:r>
            <w:r>
              <w:rPr>
                <w:rFonts w:hint="eastAsia" w:ascii="宋体" w:hAnsi="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lang w:val="zh-TW" w:eastAsia="zh-TW"/>
              </w:rPr>
              <w:t xml:space="preserve">有用于质量控制的CMA认证实验室的</w:t>
            </w:r>
            <w:r>
              <w:rPr>
                <w:rFonts w:hint="eastAsia" w:ascii="宋体" w:hAnsi="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得8分</w:t>
            </w:r>
            <w:r>
              <w:rPr>
                <w:rFonts w:hint="eastAsia" w:ascii="宋体" w:hAnsi="宋体" w:cs="宋体"/>
                <w:color w:val="auto"/>
                <w:sz w:val="24"/>
                <w:szCs w:val="24"/>
                <w:highlight w:val="none"/>
                <w:lang w:val="zh-TW" w:eastAsia="zh-CN"/>
              </w:rPr>
              <w:t xml:space="preserve">。</w:t>
            </w:r>
            <w:r/>
          </w:p>
          <w:p>
            <w:pPr>
              <w:ind w:firstLine="472"/>
              <w:jc w:val="both"/>
              <w:keepLines w:val="0"/>
              <w:keepNext w:val="0"/>
              <w:pageBreakBefore w:val="0"/>
              <w:spacing w:line="400" w:lineRule="exact"/>
              <w:widowControl w:val="off"/>
              <w:rPr>
                <w:rFonts w:hint="eastAsia"/>
              </w:rPr>
            </w:pPr>
            <w:r>
              <w:rPr>
                <w:rFonts w:hint="eastAsia" w:ascii="宋体" w:hAnsi="宋体" w:eastAsia="宋体" w:cs="宋体"/>
                <w:b/>
                <w:color w:val="auto"/>
                <w:sz w:val="24"/>
                <w:highlight w:val="none"/>
                <w:lang w:val="en-US" w:eastAsia="zh-CN"/>
              </w:rPr>
              <w:t xml:space="preserve">注：</w:t>
            </w:r>
            <w:r>
              <w:rPr>
                <w:rFonts w:ascii="宋体" w:hAnsi="宋体" w:eastAsia="宋体" w:cs="宋体"/>
                <w:b/>
                <w:color w:val="auto"/>
                <w:sz w:val="24"/>
                <w:highlight w:val="none"/>
              </w:rPr>
              <w:t xml:space="preserve">投标时须</w:t>
            </w:r>
            <w:r>
              <w:rPr>
                <w:rFonts w:hint="eastAsia" w:ascii="宋体" w:hAnsi="宋体" w:eastAsia="宋体" w:cs="宋体"/>
                <w:b/>
                <w:color w:val="auto"/>
                <w:sz w:val="24"/>
                <w:highlight w:val="none"/>
                <w:lang w:val="zh-TW" w:eastAsia="zh-TW"/>
              </w:rPr>
              <w:t xml:space="preserve">提供投标人计量证书和计量确认证明</w:t>
            </w:r>
            <w:r>
              <w:rPr>
                <w:rFonts w:ascii="宋体" w:hAnsi="宋体" w:eastAsia="宋体" w:cs="宋体"/>
                <w:b/>
                <w:color w:val="auto"/>
                <w:sz w:val="24"/>
                <w:highlight w:val="none"/>
              </w:rPr>
              <w:t xml:space="preserve">的扫描件</w:t>
            </w:r>
            <w:r>
              <w:rPr>
                <w:rFonts w:hint="eastAsia" w:ascii="宋体" w:hAnsi="宋体" w:eastAsia="宋体" w:cs="宋体"/>
                <w:b/>
                <w:color w:val="auto"/>
                <w:sz w:val="24"/>
                <w:highlight w:val="none"/>
                <w:lang w:val="zh-TW" w:eastAsia="zh-TW"/>
              </w:rPr>
              <w:t xml:space="preserve">及有效相关证明材料。</w:t>
            </w:r>
            <w:r/>
          </w:p>
        </w:tc>
      </w:tr>
      <w:tr>
        <w:trPr>
          <w:jc w:val="center"/>
          <w:trHeight w:val="439"/>
        </w:trPr>
        <w:tc>
          <w:tcPr>
            <w:tcW w:w="15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业绩</w:t>
            </w:r>
            <w:r/>
          </w:p>
        </w:tc>
        <w:tc>
          <w:tcPr>
            <w:tcW w:w="975"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15分</w:t>
            </w:r>
            <w:r/>
          </w:p>
        </w:tc>
        <w:tc>
          <w:tcPr>
            <w:tcW w:w="6966" w:type="dxa"/>
            <w:vAlign w:val="center"/>
            <w:textDirection w:val="lrTb"/>
            <w:noWrap w:val="false"/>
          </w:tcPr>
          <w:p>
            <w:pPr>
              <w:ind w:firstLine="470"/>
              <w:keepLines w:val="0"/>
              <w:keepNext w:val="0"/>
              <w:pageBreakBefore w:val="0"/>
              <w:spacing w:line="400" w:lineRule="exact"/>
              <w:widowControl w:val="off"/>
              <w:rPr>
                <w:rFonts w:hint="eastAsia"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TW" w:eastAsia="zh-TW"/>
              </w:rPr>
              <w:t xml:space="preserve">投标人自2022年1月1日以来（以合同</w:t>
            </w:r>
            <w:r>
              <w:rPr>
                <w:rFonts w:hint="eastAsia" w:ascii="宋体" w:hAnsi="宋体" w:cs="宋体"/>
                <w:color w:val="auto"/>
                <w:sz w:val="24"/>
                <w:szCs w:val="24"/>
                <w:highlight w:val="none"/>
                <w:lang w:val="zh-TW" w:eastAsia="zh-TW"/>
              </w:rPr>
              <w:t xml:space="preserve">签订</w:t>
            </w:r>
            <w:r>
              <w:rPr>
                <w:rFonts w:hint="eastAsia" w:ascii="宋体" w:hAnsi="宋体" w:cs="宋体"/>
                <w:color w:val="auto"/>
                <w:sz w:val="24"/>
                <w:szCs w:val="24"/>
                <w:highlight w:val="none"/>
                <w:lang w:val="zh-TW" w:eastAsia="zh-TW"/>
              </w:rPr>
              <w:t xml:space="preserve">日期为准）</w:t>
            </w:r>
            <w:r>
              <w:rPr>
                <w:rFonts w:hint="eastAsia" w:ascii="宋体" w:hAnsi="宋体" w:cs="宋体"/>
                <w:color w:val="auto"/>
                <w:sz w:val="24"/>
                <w:szCs w:val="24"/>
                <w:highlight w:val="none"/>
                <w:lang w:val="zh-TW" w:eastAsia="zh-CN"/>
              </w:rPr>
              <w:t xml:space="preserve">，</w:t>
            </w:r>
            <w:r>
              <w:rPr>
                <w:rFonts w:hint="eastAsia" w:ascii="宋体" w:hAnsi="宋体" w:cs="宋体"/>
                <w:color w:val="auto"/>
                <w:sz w:val="24"/>
                <w:szCs w:val="24"/>
                <w:highlight w:val="none"/>
                <w:lang w:val="zh-TW" w:eastAsia="zh-TW"/>
              </w:rPr>
              <w:t xml:space="preserve">提供过</w:t>
            </w:r>
            <w:r>
              <w:rPr>
                <w:rFonts w:hint="eastAsia" w:ascii="宋体" w:hAnsi="宋体" w:cs="宋体"/>
                <w:color w:val="auto"/>
                <w:sz w:val="24"/>
                <w:szCs w:val="24"/>
                <w:highlight w:val="none"/>
                <w:lang w:val="en-US" w:eastAsia="zh-CN"/>
              </w:rPr>
              <w:t xml:space="preserve">类似本项目（</w:t>
            </w:r>
            <w:r>
              <w:rPr>
                <w:rFonts w:hint="eastAsia" w:ascii="宋体" w:hAnsi="宋体" w:cs="宋体"/>
                <w:color w:val="auto"/>
                <w:sz w:val="24"/>
                <w:szCs w:val="24"/>
                <w:highlight w:val="none"/>
                <w:lang w:val="en-US" w:eastAsia="zh-CN"/>
              </w:rPr>
              <w:t xml:space="preserve">业绩</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val="en-US" w:eastAsia="zh-CN"/>
              </w:rPr>
              <w:t xml:space="preserve">范围</w:t>
            </w:r>
            <w:r>
              <w:rPr>
                <w:rFonts w:hint="eastAsia" w:ascii="宋体" w:hAnsi="宋体" w:cs="宋体"/>
                <w:color w:val="auto"/>
                <w:sz w:val="24"/>
                <w:szCs w:val="24"/>
                <w:highlight w:val="none"/>
                <w:lang w:val="en-US" w:eastAsia="zh-CN"/>
              </w:rPr>
              <w:t xml:space="preserve">需</w:t>
            </w:r>
            <w:r>
              <w:rPr>
                <w:rFonts w:hint="eastAsia" w:ascii="宋体" w:hAnsi="宋体" w:cs="宋体"/>
                <w:color w:val="auto"/>
                <w:sz w:val="24"/>
                <w:szCs w:val="24"/>
                <w:highlight w:val="none"/>
                <w:lang w:val="en-US" w:eastAsia="zh-CN"/>
              </w:rPr>
              <w:t xml:space="preserve">包含</w:t>
            </w:r>
            <w:r>
              <w:rPr>
                <w:rFonts w:hint="eastAsia" w:ascii="宋体" w:hAnsi="宋体" w:cs="宋体"/>
                <w:color w:val="auto"/>
                <w:sz w:val="24"/>
                <w:szCs w:val="24"/>
                <w:highlight w:val="none"/>
                <w:lang w:val="zh-TW" w:eastAsia="zh-TW"/>
              </w:rPr>
              <w:t xml:space="preserve">土壤污染状况调查报告评审工作</w:t>
            </w:r>
            <w:r>
              <w:rPr>
                <w:rFonts w:hint="eastAsia" w:ascii="宋体" w:hAnsi="宋体" w:cs="宋体"/>
                <w:color w:val="auto"/>
                <w:sz w:val="24"/>
                <w:szCs w:val="24"/>
                <w:highlight w:val="none"/>
                <w:lang w:val="zh-TW" w:eastAsia="zh-CN"/>
              </w:rPr>
              <w:t xml:space="preserve">）的</w:t>
            </w:r>
            <w:r>
              <w:rPr>
                <w:rFonts w:hint="eastAsia" w:ascii="宋体" w:hAnsi="宋体" w:cs="宋体"/>
                <w:color w:val="auto"/>
                <w:sz w:val="24"/>
                <w:szCs w:val="24"/>
                <w:highlight w:val="none"/>
                <w:lang w:val="zh-TW" w:eastAsia="zh-TW"/>
              </w:rPr>
              <w:t xml:space="preserve">，得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TW" w:eastAsia="zh-TW"/>
              </w:rPr>
              <w:t xml:space="preserve">分。</w:t>
            </w:r>
            <w:r/>
          </w:p>
          <w:p>
            <w:pPr>
              <w:ind w:firstLine="47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TW" w:eastAsia="zh-TW"/>
              </w:rPr>
              <w:t xml:space="preserve">投标人自2022年1月1日以来（以合同签订时间为准），提供过</w:t>
            </w:r>
            <w:r>
              <w:rPr>
                <w:rFonts w:hint="eastAsia" w:ascii="宋体" w:hAnsi="宋体" w:cs="宋体"/>
                <w:color w:val="auto"/>
                <w:sz w:val="24"/>
                <w:szCs w:val="24"/>
                <w:highlight w:val="none"/>
                <w:lang w:val="en-US" w:eastAsia="zh-CN"/>
              </w:rPr>
              <w:t xml:space="preserve">类似本项目（</w:t>
            </w:r>
            <w:r>
              <w:rPr>
                <w:rFonts w:hint="eastAsia" w:ascii="宋体" w:hAnsi="宋体" w:cs="宋体"/>
                <w:color w:val="auto"/>
                <w:sz w:val="24"/>
                <w:szCs w:val="24"/>
                <w:highlight w:val="none"/>
                <w:lang w:val="en-US" w:eastAsia="zh-CN"/>
              </w:rPr>
              <w:t xml:space="preserve">业绩</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val="en-US" w:eastAsia="zh-CN"/>
              </w:rPr>
              <w:t xml:space="preserve">范围</w:t>
            </w:r>
            <w:r>
              <w:rPr>
                <w:rFonts w:hint="eastAsia" w:ascii="宋体" w:hAnsi="宋体" w:cs="宋体"/>
                <w:color w:val="auto"/>
                <w:sz w:val="24"/>
                <w:szCs w:val="24"/>
                <w:highlight w:val="none"/>
                <w:lang w:val="en-US" w:eastAsia="zh-CN"/>
              </w:rPr>
              <w:t xml:space="preserve">需</w:t>
            </w:r>
            <w:r>
              <w:rPr>
                <w:rFonts w:hint="eastAsia" w:ascii="宋体" w:hAnsi="宋体" w:cs="宋体"/>
                <w:color w:val="auto"/>
                <w:sz w:val="24"/>
                <w:szCs w:val="24"/>
                <w:highlight w:val="none"/>
                <w:lang w:val="en-US" w:eastAsia="zh-CN"/>
              </w:rPr>
              <w:t xml:space="preserve">包含</w:t>
            </w:r>
            <w:r>
              <w:rPr>
                <w:rFonts w:hint="eastAsia" w:ascii="宋体" w:hAnsi="宋体" w:cs="宋体"/>
                <w:color w:val="auto"/>
                <w:sz w:val="24"/>
                <w:szCs w:val="24"/>
                <w:highlight w:val="none"/>
                <w:lang w:val="zh-TW" w:eastAsia="zh-TW"/>
              </w:rPr>
              <w:t xml:space="preserve">环境保护技术评审或评估相关服务工作</w:t>
            </w:r>
            <w:r>
              <w:rPr>
                <w:rFonts w:hint="eastAsia" w:ascii="宋体" w:hAnsi="宋体" w:cs="宋体"/>
                <w:color w:val="auto"/>
                <w:sz w:val="24"/>
                <w:szCs w:val="24"/>
                <w:highlight w:val="none"/>
                <w:lang w:val="zh-TW" w:eastAsia="zh-CN"/>
              </w:rPr>
              <w:t xml:space="preserve">）的</w:t>
            </w:r>
            <w:r>
              <w:rPr>
                <w:rFonts w:hint="eastAsia" w:ascii="宋体" w:hAnsi="宋体" w:cs="宋体"/>
                <w:color w:val="auto"/>
                <w:sz w:val="24"/>
                <w:szCs w:val="24"/>
                <w:highlight w:val="none"/>
                <w:lang w:val="zh-TW" w:eastAsia="zh-TW"/>
              </w:rPr>
              <w:t xml:space="preserve">，得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TW" w:eastAsia="zh-TW"/>
              </w:rPr>
              <w:t xml:space="preserve">分。</w:t>
            </w:r>
            <w:r/>
          </w:p>
          <w:p>
            <w:pPr>
              <w:ind w:firstLine="470"/>
              <w:keepLines w:val="0"/>
              <w:keepNext w:val="0"/>
              <w:pageBreakBefore w:val="0"/>
              <w:spacing w:line="400" w:lineRule="exact"/>
              <w:widowControl w:val="off"/>
              <w:rPr>
                <w:rFonts w:hint="eastAsia"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TW" w:eastAsia="zh-TW"/>
              </w:rPr>
              <w:t xml:space="preserve">投标人自2022年1月1日以来（以合同签订时间为准），提供过</w:t>
            </w:r>
            <w:r>
              <w:rPr>
                <w:rFonts w:hint="eastAsia" w:ascii="宋体" w:hAnsi="宋体" w:cs="宋体"/>
                <w:color w:val="auto"/>
                <w:sz w:val="24"/>
                <w:szCs w:val="24"/>
                <w:highlight w:val="none"/>
                <w:lang w:val="en-US" w:eastAsia="zh-CN"/>
              </w:rPr>
              <w:t xml:space="preserve">类似本项目（</w:t>
            </w:r>
            <w:r>
              <w:rPr>
                <w:rFonts w:hint="eastAsia" w:ascii="宋体" w:hAnsi="宋体" w:cs="宋体"/>
                <w:color w:val="auto"/>
                <w:sz w:val="24"/>
                <w:szCs w:val="24"/>
                <w:highlight w:val="none"/>
                <w:lang w:val="en-US" w:eastAsia="zh-CN"/>
              </w:rPr>
              <w:t xml:space="preserve">业绩</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val="en-US" w:eastAsia="zh-CN"/>
              </w:rPr>
              <w:t xml:space="preserve">范围</w:t>
            </w:r>
            <w:r>
              <w:rPr>
                <w:rFonts w:hint="eastAsia" w:ascii="宋体" w:hAnsi="宋体" w:cs="宋体"/>
                <w:color w:val="auto"/>
                <w:sz w:val="24"/>
                <w:szCs w:val="24"/>
                <w:highlight w:val="none"/>
                <w:lang w:val="en-US" w:eastAsia="zh-CN"/>
              </w:rPr>
              <w:t xml:space="preserve">需</w:t>
            </w:r>
            <w:r>
              <w:rPr>
                <w:rFonts w:hint="eastAsia" w:ascii="宋体" w:hAnsi="宋体" w:cs="宋体"/>
                <w:color w:val="auto"/>
                <w:sz w:val="24"/>
                <w:szCs w:val="24"/>
                <w:highlight w:val="none"/>
                <w:lang w:val="en-US" w:eastAsia="zh-CN"/>
              </w:rPr>
              <w:t xml:space="preserve">包含</w:t>
            </w:r>
            <w:r>
              <w:rPr>
                <w:rFonts w:hint="eastAsia" w:ascii="宋体" w:hAnsi="宋体" w:cs="宋体"/>
                <w:color w:val="auto"/>
                <w:sz w:val="24"/>
                <w:szCs w:val="24"/>
                <w:highlight w:val="none"/>
                <w:lang w:val="zh-TW" w:eastAsia="zh-TW"/>
              </w:rPr>
              <w:t xml:space="preserve">工业企业土壤和地下水自行监测任务</w:t>
            </w:r>
            <w:r>
              <w:rPr>
                <w:rFonts w:hint="eastAsia" w:ascii="宋体" w:hAnsi="宋体" w:cs="宋体"/>
                <w:color w:val="auto"/>
                <w:sz w:val="24"/>
                <w:szCs w:val="24"/>
                <w:highlight w:val="none"/>
                <w:lang w:val="zh-TW" w:eastAsia="zh-CN"/>
              </w:rPr>
              <w:t xml:space="preserve">）的</w:t>
            </w:r>
            <w:r>
              <w:rPr>
                <w:rFonts w:hint="eastAsia" w:ascii="宋体" w:hAnsi="宋体" w:cs="宋体"/>
                <w:color w:val="auto"/>
                <w:sz w:val="24"/>
                <w:szCs w:val="24"/>
                <w:highlight w:val="none"/>
                <w:lang w:val="zh-TW" w:eastAsia="zh-TW"/>
              </w:rPr>
              <w:t xml:space="preserve">，得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TW" w:eastAsia="zh-TW"/>
              </w:rPr>
              <w:t xml:space="preserve">分。</w:t>
            </w:r>
            <w:r/>
          </w:p>
          <w:p>
            <w:pPr>
              <w:ind w:firstLine="470"/>
              <w:keepLines w:val="0"/>
              <w:keepNext w:val="0"/>
              <w:pageBreakBefore w:val="0"/>
              <w:spacing w:line="400" w:lineRule="exact"/>
              <w:widowControl w:val="off"/>
              <w:rPr>
                <w:color w:val="auto"/>
                <w:sz w:val="28"/>
                <w:highlight w:val="none"/>
              </w:rPr>
            </w:pPr>
            <w:r>
              <w:rPr>
                <w:rFonts w:hint="eastAsia" w:ascii="宋体" w:hAnsi="宋体" w:eastAsia="宋体" w:cs="宋体"/>
                <w:b/>
                <w:color w:val="auto"/>
                <w:sz w:val="24"/>
                <w:highlight w:val="none"/>
                <w:lang w:val="en-US" w:eastAsia="zh-CN"/>
              </w:rPr>
              <w:t xml:space="preserve">注：</w:t>
            </w:r>
            <w:r>
              <w:rPr>
                <w:rFonts w:ascii="宋体" w:hAnsi="宋体" w:eastAsia="宋体" w:cs="宋体"/>
                <w:b/>
                <w:color w:val="auto"/>
                <w:sz w:val="24"/>
                <w:highlight w:val="none"/>
              </w:rPr>
              <w:t xml:space="preserve">投标时须</w:t>
            </w:r>
            <w:r>
              <w:rPr>
                <w:rFonts w:hint="eastAsia" w:ascii="宋体" w:hAnsi="宋体" w:eastAsia="宋体" w:cs="宋体"/>
                <w:b/>
                <w:color w:val="auto"/>
                <w:sz w:val="24"/>
                <w:highlight w:val="none"/>
                <w:lang w:val="zh-TW" w:eastAsia="zh-TW"/>
              </w:rPr>
              <w:t xml:space="preserve">提供</w:t>
            </w:r>
            <w:r>
              <w:rPr>
                <w:rFonts w:hint="eastAsia" w:ascii="宋体" w:hAnsi="宋体" w:cs="宋体"/>
                <w:b/>
                <w:color w:val="auto"/>
                <w:sz w:val="24"/>
                <w:highlight w:val="none"/>
                <w:lang w:val="en-US" w:eastAsia="zh-CN"/>
              </w:rPr>
              <w:t xml:space="preserve">业绩</w:t>
            </w:r>
            <w:r>
              <w:rPr>
                <w:rFonts w:hint="eastAsia" w:ascii="宋体" w:hAnsi="宋体" w:eastAsia="宋体" w:cs="宋体"/>
                <w:b/>
                <w:color w:val="auto"/>
                <w:sz w:val="24"/>
                <w:highlight w:val="none"/>
                <w:lang w:val="zh-TW" w:eastAsia="zh-TW"/>
              </w:rPr>
              <w:t xml:space="preserve">合同</w:t>
            </w:r>
            <w:r>
              <w:rPr>
                <w:rFonts w:ascii="宋体" w:hAnsi="宋体" w:eastAsia="宋体" w:cs="宋体"/>
                <w:b/>
                <w:color w:val="auto"/>
                <w:sz w:val="24"/>
                <w:highlight w:val="none"/>
              </w:rPr>
              <w:t xml:space="preserve">的扫描件</w:t>
            </w:r>
            <w:r>
              <w:rPr>
                <w:rFonts w:ascii="宋体" w:hAnsi="宋体" w:eastAsia="宋体" w:cs="宋体"/>
                <w:b/>
                <w:color w:val="auto"/>
                <w:sz w:val="24"/>
                <w:highlight w:val="none"/>
              </w:rPr>
              <w:t xml:space="preserve">，</w:t>
            </w:r>
            <w:r>
              <w:rPr>
                <w:rFonts w:ascii="SimSun" w:hAnsi="SimSun" w:eastAsia="SimSun" w:cs="SimSun"/>
                <w:color w:val="000000"/>
                <w:sz w:val="24"/>
              </w:rPr>
              <w:t xml:space="preserve">提供的证明材料中需</w:t>
            </w:r>
            <w:r>
              <w:rPr>
                <w:rFonts w:ascii="SimSun" w:hAnsi="SimSun" w:eastAsia="SimSun" w:cs="SimSun"/>
                <w:color w:val="000000"/>
                <w:sz w:val="24"/>
                <w:highlight w:val="white"/>
              </w:rPr>
              <w:t xml:space="preserve">体现服务内容、合同签订时间等信息，若不能体现的，需提供该委托单位出具的证明材料，否则</w:t>
            </w:r>
            <w:r>
              <w:rPr>
                <w:rFonts w:ascii="SimSun" w:hAnsi="SimSun" w:eastAsia="SimSun" w:cs="SimSun"/>
                <w:color w:val="000000"/>
                <w:sz w:val="24"/>
                <w:szCs w:val="24"/>
                <w:highlight w:val="white"/>
              </w:rPr>
              <w:t xml:space="preserve">不予计分</w:t>
            </w:r>
            <w:r>
              <w:rPr>
                <w:rFonts w:ascii="SimSun" w:hAnsi="SimSun" w:eastAsia="SimSun" w:cs="SimSun"/>
                <w:color w:val="000000"/>
                <w:sz w:val="24"/>
                <w:szCs w:val="24"/>
                <w:highlight w:val="white"/>
                <w:lang w:val="zh-TW" w:eastAsia="zh-TW"/>
              </w:rPr>
              <w:t xml:space="preserve">。</w:t>
            </w:r>
            <w:r>
              <w:rPr>
                <w:rFonts w:ascii="SimSun" w:hAnsi="SimSun" w:eastAsia="SimSun" w:cs="SimSun"/>
                <w:color w:val="000000"/>
                <w:sz w:val="24"/>
                <w:szCs w:val="24"/>
                <w:highlight w:val="white"/>
                <w:lang w:val="zh-TW" w:eastAsia="zh-TW"/>
              </w:rPr>
              <w:t xml:space="preserve">同一个甲方按一份业绩计算，且上述业绩合同不得重复。</w:t>
            </w:r>
            <w:r/>
          </w:p>
        </w:tc>
      </w:tr>
      <w:tr>
        <w:trPr>
          <w:jc w:val="center"/>
          <w:trHeight w:val="439"/>
        </w:trPr>
        <w:tc>
          <w:tcPr>
            <w:shd w:val="clear" w:color="auto" w:fill="ffffff"/>
            <w:tcW w:w="1509"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8"/>
                <w:szCs w:val="21"/>
                <w:lang w:val="en-US" w:eastAsia="zh-CN" w:bidi="ar-SA"/>
              </w:rPr>
            </w:pPr>
            <w:r>
              <w:rPr>
                <w:rFonts w:hint="eastAsia" w:ascii="宋体" w:hAnsi="宋体" w:cs="宋体"/>
                <w:b/>
                <w:bCs/>
                <w:color w:val="auto"/>
                <w:sz w:val="24"/>
                <w:szCs w:val="24"/>
                <w:highlight w:val="none"/>
                <w:lang w:val="zh-TW" w:eastAsia="zh-CN"/>
              </w:rPr>
              <w:t xml:space="preserve">服务承诺</w:t>
            </w:r>
            <w:r/>
          </w:p>
        </w:tc>
        <w:tc>
          <w:tcPr>
            <w:shd w:val="clear" w:color="auto" w:fill="ffffff"/>
            <w:tcW w:w="975"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4分</w:t>
            </w:r>
            <w:r/>
          </w:p>
        </w:tc>
        <w:tc>
          <w:tcPr>
            <w:tcW w:w="6966" w:type="dxa"/>
            <w:vAlign w:val="center"/>
            <w:textDirection w:val="lrTb"/>
            <w:noWrap w:val="false"/>
          </w:tcPr>
          <w:p>
            <w:pPr>
              <w:ind w:firstLine="470"/>
              <w:keepLines w:val="0"/>
              <w:keepNext w:val="0"/>
              <w:pageBreakBefore w:val="0"/>
              <w:spacing w:line="400" w:lineRule="exact"/>
              <w:widowControl w:val="off"/>
              <w:rPr>
                <w:rFonts w:hint="eastAsia"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为招标人推进行政审批改革服务，积极响应评估工作需求，在提升评估质量与时效方面有具体措施。提供能保障根据招标人要求及时完成评估技术服务具体措施的，得2分；提供能保障评估服务质量具体措施，保证服务准确性的，得2分。此项满分4分。</w:t>
            </w:r>
            <w:r/>
          </w:p>
          <w:p>
            <w:pPr>
              <w:ind w:firstLine="470"/>
              <w:keepLines w:val="0"/>
              <w:keepNext w:val="0"/>
              <w:pageBreakBefore w:val="0"/>
              <w:spacing w:line="400" w:lineRule="exact"/>
              <w:widowControl w:val="off"/>
              <w:rPr>
                <w:rFonts w:hint="eastAsia" w:ascii="宋体" w:hAnsi="宋体" w:eastAsia="宋体" w:cs="宋体"/>
                <w:b/>
                <w:color w:val="auto"/>
                <w:sz w:val="24"/>
                <w:highlight w:val="none"/>
                <w:lang w:val="en-US" w:eastAsia="zh-CN"/>
              </w:rPr>
            </w:pPr>
            <w:r>
              <w:rPr>
                <w:rFonts w:hint="eastAsia" w:ascii="宋体" w:hAnsi="宋体" w:cs="宋体"/>
                <w:color w:val="auto"/>
                <w:sz w:val="24"/>
                <w:szCs w:val="24"/>
                <w:highlight w:val="none"/>
                <w:lang w:val="zh-TW" w:eastAsia="zh-TW"/>
              </w:rPr>
              <w:t xml:space="preserve">注：投标时须提供符合内容要求的承诺函，否则不得分</w:t>
            </w:r>
            <w:r>
              <w:rPr>
                <w:rFonts w:hint="eastAsia" w:ascii="宋体" w:hAnsi="宋体" w:cs="宋体"/>
                <w:color w:val="auto"/>
                <w:sz w:val="24"/>
                <w:szCs w:val="24"/>
                <w:highlight w:val="none"/>
                <w:lang w:val="zh-TW" w:eastAsia="zh-CN"/>
              </w:rPr>
              <w:t xml:space="preserve">。</w:t>
            </w:r>
            <w:r/>
          </w:p>
        </w:tc>
      </w:tr>
      <w:tr>
        <w:trPr>
          <w:jc w:val="center"/>
          <w:trHeight w:val="439"/>
        </w:trPr>
        <w:tc>
          <w:tcPr>
            <w:tcW w:w="1509"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实施方案</w:t>
            </w:r>
            <w:r/>
          </w:p>
        </w:tc>
        <w:tc>
          <w:tcPr>
            <w:tcW w:w="97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12</w:t>
            </w:r>
            <w:r>
              <w:rPr>
                <w:rFonts w:ascii="宋体" w:hAnsi="宋体" w:eastAsia="宋体" w:cs="宋体"/>
                <w:color w:val="auto"/>
                <w:sz w:val="24"/>
                <w:highlight w:val="none"/>
              </w:rPr>
              <w:t xml:space="preserve">分</w:t>
            </w:r>
            <w:r/>
          </w:p>
        </w:tc>
        <w:tc>
          <w:tcPr>
            <w:tcW w:w="6966" w:type="dxa"/>
            <w:vAlign w:val="center"/>
            <w:textDirection w:val="lrTb"/>
            <w:noWrap w:val="false"/>
          </w:tcPr>
          <w:p>
            <w:pPr>
              <w:ind w:left="0" w:right="0" w:firstLine="482"/>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对本项目的理解和把握</w:t>
            </w:r>
            <w:r>
              <w:rPr>
                <w:rFonts w:ascii="宋体" w:hAnsi="宋体" w:eastAsia="宋体" w:cs="宋体"/>
                <w:b/>
                <w:color w:val="auto"/>
                <w:sz w:val="24"/>
                <w:highlight w:val="none"/>
              </w:rPr>
              <w:t xml:space="preserve">方案：</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供应商根据本项目第四章中“</w:t>
            </w:r>
            <w:r>
              <w:rPr>
                <w:rFonts w:hint="eastAsia" w:ascii="宋体" w:hAnsi="宋体" w:eastAsia="宋体" w:cs="宋体"/>
                <w:b/>
                <w:bCs/>
                <w:color w:val="auto"/>
                <w:sz w:val="24"/>
                <w:szCs w:val="24"/>
                <w:highlight w:val="none"/>
                <w:lang w:val="en-US" w:eastAsia="zh-CN"/>
              </w:rPr>
              <w:t xml:space="preserve">实施方案</w:t>
            </w:r>
            <w:r>
              <w:rPr>
                <w:rFonts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1</w:t>
            </w:r>
            <w:r>
              <w:rPr>
                <w:rFonts w:ascii="宋体" w:hAnsi="宋体" w:eastAsia="宋体" w:cs="宋体"/>
                <w:color w:val="auto"/>
                <w:sz w:val="24"/>
                <w:highlight w:val="none"/>
              </w:rPr>
              <w:t xml:space="preserve">）条要求，提供有针对性的、科学合理的方案，至少包含：</w:t>
            </w:r>
            <w:r>
              <w:rPr>
                <w:rFonts w:hint="default" w:ascii="宋体" w:hAnsi="宋体" w:eastAsia="宋体" w:cs="宋体"/>
                <w:color w:val="auto"/>
                <w:sz w:val="24"/>
                <w:szCs w:val="24"/>
                <w:highlight w:val="none"/>
              </w:rPr>
              <w:t xml:space="preserve">①项目核心需求解读；②项目重难点分析；③服务定位与目标</w:t>
            </w:r>
            <w:r>
              <w:rPr>
                <w:rFonts w:ascii="宋体" w:hAnsi="宋体" w:eastAsia="宋体" w:cs="宋体"/>
                <w:color w:val="auto"/>
                <w:sz w:val="24"/>
                <w:highlight w:val="none"/>
              </w:rPr>
              <w:t xml:space="preserve">。</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以上方案内容完整的得1</w:t>
            </w:r>
            <w:r>
              <w:rPr>
                <w:rFonts w:hint="eastAsia" w:ascii="宋体" w:hAnsi="宋体" w:cs="宋体"/>
                <w:color w:val="auto"/>
                <w:sz w:val="24"/>
                <w:highlight w:val="none"/>
                <w:lang w:val="en-US" w:eastAsia="zh-CN"/>
              </w:rPr>
              <w:t xml:space="preserve">2</w:t>
            </w:r>
            <w:r>
              <w:rPr>
                <w:rFonts w:ascii="宋体" w:hAnsi="宋体" w:eastAsia="宋体" w:cs="宋体"/>
                <w:color w:val="auto"/>
                <w:sz w:val="24"/>
                <w:highlight w:val="none"/>
              </w:rPr>
              <w:t xml:space="preserve">分，每有一内容缺失的扣</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eastAsia="宋体" w:cs="宋体"/>
                <w:color w:val="auto"/>
                <w:sz w:val="24"/>
                <w:highlight w:val="none"/>
              </w:rPr>
              <w:t xml:space="preserve">0.5分，直至该项分值</w:t>
            </w:r>
            <w:r>
              <w:rPr>
                <w:rFonts w:ascii="宋体" w:hAnsi="宋体" w:eastAsia="宋体" w:cs="宋体"/>
                <w:color w:val="auto"/>
                <w:sz w:val="24"/>
                <w:highlight w:val="none"/>
              </w:rPr>
              <w:t xml:space="preserve">4分扣完为止，不提供本项不得分。</w:t>
            </w:r>
            <w:r/>
          </w:p>
        </w:tc>
      </w:tr>
      <w:tr>
        <w:trPr>
          <w:jc w:val="center"/>
          <w:trHeight w:val="439"/>
        </w:trPr>
        <w:tc>
          <w:tcPr>
            <w:tcW w:w="1509" w:type="dxa"/>
            <w:vAlign w:val="center"/>
            <w:vMerge w:val="continue"/>
            <w:textDirection w:val="lrTb"/>
            <w:noWrap w:val="false"/>
          </w:tcPr>
          <w:p>
            <w:pPr>
              <w:jc w:val="center"/>
              <w:spacing w:line="400" w:lineRule="exact"/>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W w:w="97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12</w:t>
            </w:r>
            <w:r>
              <w:rPr>
                <w:rFonts w:ascii="宋体" w:hAnsi="宋体" w:eastAsia="宋体" w:cs="宋体"/>
                <w:color w:val="auto"/>
                <w:sz w:val="24"/>
                <w:highlight w:val="none"/>
              </w:rPr>
              <w:t xml:space="preserve">分</w:t>
            </w:r>
            <w:r/>
          </w:p>
        </w:tc>
        <w:tc>
          <w:tcPr>
            <w:tcW w:w="6966" w:type="dxa"/>
            <w:vAlign w:val="center"/>
            <w:textDirection w:val="lrTb"/>
            <w:noWrap w:val="false"/>
          </w:tcPr>
          <w:p>
            <w:pPr>
              <w:ind w:left="0" w:right="0" w:firstLine="482"/>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拟开展的重点工作内容</w:t>
            </w:r>
            <w:r>
              <w:rPr>
                <w:rFonts w:ascii="宋体" w:hAnsi="宋体" w:eastAsia="宋体" w:cs="宋体"/>
                <w:b/>
                <w:color w:val="auto"/>
                <w:sz w:val="24"/>
                <w:highlight w:val="none"/>
              </w:rPr>
              <w:t xml:space="preserve">方案：</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供应商根据第四章中“</w:t>
            </w:r>
            <w:r>
              <w:rPr>
                <w:rFonts w:hint="eastAsia" w:ascii="宋体" w:hAnsi="宋体" w:eastAsia="宋体" w:cs="宋体"/>
                <w:b/>
                <w:bCs/>
                <w:color w:val="auto"/>
                <w:sz w:val="24"/>
                <w:szCs w:val="24"/>
                <w:highlight w:val="none"/>
                <w:lang w:val="en-US" w:eastAsia="zh-CN"/>
              </w:rPr>
              <w:t xml:space="preserve">实施方案</w:t>
            </w:r>
            <w:r>
              <w:rPr>
                <w:rFonts w:ascii="宋体" w:hAnsi="宋体" w:eastAsia="宋体" w:cs="宋体"/>
                <w:color w:val="auto"/>
                <w:sz w:val="24"/>
                <w:highlight w:val="none"/>
              </w:rPr>
              <w:t xml:space="preserve">”第（2）条要求，提供有针对性的、科学合理的方案，至少包含：</w:t>
            </w:r>
            <w:r>
              <w:rPr>
                <w:rFonts w:hint="default" w:ascii="宋体" w:hAnsi="宋体" w:eastAsia="宋体" w:cs="宋体"/>
                <w:color w:val="auto"/>
                <w:sz w:val="24"/>
                <w:szCs w:val="24"/>
                <w:highlight w:val="none"/>
              </w:rPr>
              <w:t xml:space="preserve">①报告评审技术支撑实施细则；②过程质量控制执行方案；③专家技术支撑保障；④创新工作方法</w:t>
            </w:r>
            <w:r>
              <w:rPr>
                <w:rFonts w:ascii="宋体" w:hAnsi="宋体" w:eastAsia="宋体" w:cs="宋体"/>
                <w:color w:val="auto"/>
                <w:sz w:val="24"/>
                <w:highlight w:val="none"/>
              </w:rPr>
              <w:t xml:space="preserve">。</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以上方案内容完整的得</w:t>
            </w:r>
            <w:r>
              <w:rPr>
                <w:rFonts w:hint="eastAsia" w:ascii="宋体" w:hAnsi="宋体" w:cs="宋体"/>
                <w:color w:val="auto"/>
                <w:sz w:val="24"/>
                <w:highlight w:val="none"/>
                <w:lang w:val="en-US" w:eastAsia="zh-CN"/>
              </w:rPr>
              <w:t xml:space="preserve">12</w:t>
            </w:r>
            <w:r>
              <w:rPr>
                <w:rFonts w:ascii="宋体" w:hAnsi="宋体" w:eastAsia="宋体" w:cs="宋体"/>
                <w:color w:val="auto"/>
                <w:sz w:val="24"/>
                <w:highlight w:val="none"/>
              </w:rPr>
              <w:t xml:space="preserve">分，每有一内容缺失的扣</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分；每有一处存在缺陷（缺陷是指不适用于本项目，表述前后不一致或内容矛盾，语句有歧义，仅有框架或标题，涉及的规范及标准错误，套用其他项目内容等任意一种情形）扣0.5分，直至该项分值</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分扣完为止，不提供本项不得分。</w:t>
            </w:r>
            <w:r/>
          </w:p>
        </w:tc>
      </w:tr>
      <w:tr>
        <w:trPr>
          <w:jc w:val="center"/>
          <w:trHeight w:val="439"/>
        </w:trPr>
        <w:tc>
          <w:tcPr>
            <w:tcW w:w="1509" w:type="dxa"/>
            <w:vAlign w:val="center"/>
            <w:vMerge w:val="continue"/>
            <w:textDirection w:val="lrTb"/>
            <w:noWrap w:val="false"/>
          </w:tcPr>
          <w:p>
            <w:pPr>
              <w:jc w:val="center"/>
              <w:spacing w:line="400" w:lineRule="exact"/>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W w:w="97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12</w:t>
            </w:r>
            <w:r>
              <w:rPr>
                <w:rFonts w:ascii="宋体" w:hAnsi="宋体" w:eastAsia="宋体" w:cs="宋体"/>
                <w:color w:val="auto"/>
                <w:sz w:val="24"/>
                <w:highlight w:val="none"/>
              </w:rPr>
              <w:t xml:space="preserve">分</w:t>
            </w:r>
            <w:r/>
          </w:p>
        </w:tc>
        <w:tc>
          <w:tcPr>
            <w:tcW w:w="6966" w:type="dxa"/>
            <w:vAlign w:val="center"/>
            <w:textDirection w:val="lrTb"/>
            <w:noWrap w:val="false"/>
          </w:tcPr>
          <w:p>
            <w:pPr>
              <w:ind w:left="0" w:right="0" w:firstLine="482"/>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质量保证体系及措施</w:t>
            </w:r>
            <w:r>
              <w:rPr>
                <w:rFonts w:ascii="宋体" w:hAnsi="宋体" w:eastAsia="宋体" w:cs="宋体"/>
                <w:b/>
                <w:color w:val="auto"/>
                <w:sz w:val="24"/>
                <w:highlight w:val="none"/>
              </w:rPr>
              <w:t xml:space="preserve">：</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供应商根据第四章中“</w:t>
            </w:r>
            <w:r>
              <w:rPr>
                <w:rFonts w:ascii="宋体" w:hAnsi="宋体" w:eastAsia="宋体" w:cs="宋体"/>
                <w:b/>
                <w:color w:val="auto"/>
                <w:sz w:val="24"/>
                <w:highlight w:val="none"/>
              </w:rPr>
              <w:t xml:space="preserve">实施方案</w:t>
            </w:r>
            <w:r>
              <w:rPr>
                <w:rFonts w:ascii="宋体" w:hAnsi="宋体" w:eastAsia="宋体" w:cs="宋体"/>
                <w:color w:val="auto"/>
                <w:sz w:val="24"/>
                <w:highlight w:val="none"/>
              </w:rPr>
              <w:t xml:space="preserve">”第（3）条要求，提供有针对性的、科学合理的质量保证</w:t>
            </w:r>
            <w:r>
              <w:rPr>
                <w:rFonts w:hint="eastAsia" w:ascii="宋体" w:hAnsi="宋体" w:cs="宋体"/>
                <w:color w:val="auto"/>
                <w:sz w:val="24"/>
                <w:highlight w:val="none"/>
                <w:lang w:val="en-US" w:eastAsia="zh-CN"/>
              </w:rPr>
              <w:t xml:space="preserve">体系</w:t>
            </w:r>
            <w:r>
              <w:rPr>
                <w:rFonts w:ascii="宋体" w:hAnsi="宋体" w:eastAsia="宋体" w:cs="宋体"/>
                <w:color w:val="auto"/>
                <w:sz w:val="24"/>
                <w:highlight w:val="none"/>
              </w:rPr>
              <w:t xml:space="preserve">及措施，至少包含：</w:t>
            </w:r>
            <w:r>
              <w:rPr>
                <w:rFonts w:hint="default" w:ascii="宋体" w:hAnsi="宋体" w:eastAsia="宋体" w:cs="宋体"/>
                <w:color w:val="auto"/>
                <w:sz w:val="24"/>
                <w:highlight w:val="none"/>
              </w:rPr>
              <w:t xml:space="preserve">①质量管理制度建设；②</w:t>
            </w:r>
            <w:r>
              <w:rPr>
                <w:rFonts w:ascii="宋体" w:hAnsi="宋体" w:eastAsia="宋体" w:cs="宋体"/>
                <w:color w:val="auto"/>
                <w:sz w:val="24"/>
                <w:highlight w:val="none"/>
              </w:rPr>
              <w:t xml:space="preserve">人员保障措施</w:t>
            </w:r>
            <w:r>
              <w:rPr>
                <w:rFonts w:hint="default" w:ascii="宋体" w:hAnsi="宋体" w:eastAsia="宋体" w:cs="宋体"/>
                <w:color w:val="auto"/>
                <w:sz w:val="24"/>
                <w:highlight w:val="none"/>
              </w:rPr>
              <w:t xml:space="preserve">；③</w:t>
            </w:r>
            <w:r>
              <w:rPr>
                <w:rFonts w:ascii="宋体" w:hAnsi="宋体" w:eastAsia="宋体" w:cs="宋体"/>
                <w:color w:val="auto"/>
                <w:sz w:val="24"/>
                <w:highlight w:val="none"/>
              </w:rPr>
              <w:t xml:space="preserve">过程质控措施</w:t>
            </w:r>
            <w:r>
              <w:rPr>
                <w:rFonts w:hint="default" w:ascii="宋体" w:hAnsi="宋体" w:eastAsia="宋体" w:cs="宋体"/>
                <w:color w:val="auto"/>
                <w:sz w:val="24"/>
                <w:highlight w:val="none"/>
              </w:rPr>
              <w:t xml:space="preserve">；④</w:t>
            </w:r>
            <w:r>
              <w:rPr>
                <w:rFonts w:ascii="宋体" w:hAnsi="宋体" w:eastAsia="宋体" w:cs="宋体"/>
                <w:color w:val="auto"/>
                <w:sz w:val="24"/>
                <w:highlight w:val="none"/>
              </w:rPr>
              <w:t xml:space="preserve">问题整改与追溯</w:t>
            </w:r>
            <w:r>
              <w:rPr>
                <w:rFonts w:hint="default" w:ascii="宋体" w:hAnsi="宋体" w:eastAsia="宋体" w:cs="宋体"/>
                <w:color w:val="auto"/>
                <w:sz w:val="24"/>
                <w:highlight w:val="none"/>
              </w:rPr>
              <w:t xml:space="preserve">。</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以上方案内容完整的得</w:t>
            </w:r>
            <w:r>
              <w:rPr>
                <w:rFonts w:hint="eastAsia" w:ascii="宋体" w:hAnsi="宋体" w:cs="宋体"/>
                <w:color w:val="auto"/>
                <w:sz w:val="24"/>
                <w:highlight w:val="none"/>
                <w:lang w:val="en-US" w:eastAsia="zh-CN"/>
              </w:rPr>
              <w:t xml:space="preserve">12</w:t>
            </w:r>
            <w:r>
              <w:rPr>
                <w:rFonts w:ascii="宋体" w:hAnsi="宋体" w:eastAsia="宋体" w:cs="宋体"/>
                <w:color w:val="auto"/>
                <w:sz w:val="24"/>
                <w:highlight w:val="none"/>
              </w:rPr>
              <w:t xml:space="preserve">分，每有一内容缺失的扣</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分；每有一处存在缺陷（缺陷是指不适用于本项目，表述前后不一致或内容矛盾，语句有歧义，仅有框架或标题，涉及的规范及标准错误，套用其他项目内容等任意一种情形）扣0.5分，直至该项分值</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分扣完为止，不提供本项不得分。</w:t>
            </w:r>
            <w:r/>
          </w:p>
        </w:tc>
      </w:tr>
      <w:tr>
        <w:trPr>
          <w:jc w:val="center"/>
          <w:trHeight w:val="1869"/>
        </w:trPr>
        <w:tc>
          <w:tcPr>
            <w:tcW w:w="1509" w:type="dxa"/>
            <w:vAlign w:val="center"/>
            <w:vMerge w:val="continue"/>
            <w:textDirection w:val="lrTb"/>
            <w:noWrap w:val="false"/>
          </w:tcPr>
          <w:p>
            <w:pPr>
              <w:jc w:val="center"/>
              <w:spacing w:line="400" w:lineRule="exact"/>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W w:w="97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5分</w:t>
            </w:r>
            <w:r/>
          </w:p>
        </w:tc>
        <w:tc>
          <w:tcPr>
            <w:tcW w:w="6966" w:type="dxa"/>
            <w:vAlign w:val="center"/>
            <w:textDirection w:val="lrTb"/>
            <w:noWrap w:val="false"/>
          </w:tcPr>
          <w:p>
            <w:pPr>
              <w:ind w:left="0" w:right="0" w:firstLine="482"/>
              <w:spacing w:before="0" w:after="0" w:line="400"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进度安排及保障措施：</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供应商根据第四章中“</w:t>
            </w:r>
            <w:r>
              <w:rPr>
                <w:rFonts w:ascii="宋体" w:hAnsi="宋体" w:eastAsia="宋体" w:cs="宋体"/>
                <w:b/>
                <w:color w:val="auto"/>
                <w:sz w:val="24"/>
                <w:highlight w:val="none"/>
              </w:rPr>
              <w:t xml:space="preserve">实施方案</w:t>
            </w:r>
            <w:r>
              <w:rPr>
                <w:rFonts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）条要求，提供有针对性的、科学合理的进度安排及进度保障措施，至少包含：</w:t>
            </w:r>
            <w:r>
              <w:rPr>
                <w:rFonts w:hint="default" w:ascii="宋体" w:hAnsi="宋体" w:eastAsia="宋体" w:cs="宋体"/>
                <w:color w:val="auto"/>
                <w:sz w:val="24"/>
                <w:highlight w:val="none"/>
              </w:rPr>
              <w:t xml:space="preserve">①</w:t>
            </w:r>
            <w:r>
              <w:rPr>
                <w:rFonts w:ascii="宋体" w:hAnsi="宋体" w:eastAsia="宋体" w:cs="宋体"/>
                <w:color w:val="auto"/>
                <w:sz w:val="24"/>
                <w:highlight w:val="none"/>
              </w:rPr>
              <w:t xml:space="preserve">进度计划合理性</w:t>
            </w:r>
            <w:r>
              <w:rPr>
                <w:rFonts w:hint="default" w:ascii="宋体" w:hAnsi="宋体" w:eastAsia="宋体" w:cs="宋体"/>
                <w:color w:val="auto"/>
                <w:sz w:val="24"/>
                <w:highlight w:val="none"/>
              </w:rPr>
              <w:t xml:space="preserve">；②</w:t>
            </w:r>
            <w:r>
              <w:rPr>
                <w:rFonts w:ascii="宋体" w:hAnsi="宋体" w:eastAsia="宋体" w:cs="宋体"/>
                <w:color w:val="auto"/>
                <w:sz w:val="24"/>
                <w:highlight w:val="none"/>
              </w:rPr>
              <w:t xml:space="preserve">进度保障措施。</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以上方案内容完整的得</w:t>
            </w:r>
            <w:r>
              <w:rPr>
                <w:rFonts w:hint="eastAsia" w:ascii="宋体" w:hAnsi="宋体" w:cs="宋体"/>
                <w:color w:val="auto"/>
                <w:sz w:val="24"/>
                <w:highlight w:val="none"/>
                <w:lang w:val="en-US" w:eastAsia="zh-CN"/>
              </w:rPr>
              <w:t xml:space="preserve">5</w:t>
            </w:r>
            <w:r>
              <w:rPr>
                <w:rFonts w:ascii="宋体" w:hAnsi="宋体" w:eastAsia="宋体" w:cs="宋体"/>
                <w:color w:val="auto"/>
                <w:sz w:val="24"/>
                <w:highlight w:val="none"/>
              </w:rPr>
              <w:t xml:space="preserve">分，每有一内容缺失的扣2</w:t>
            </w:r>
            <w:r>
              <w:rPr>
                <w:rFonts w:hint="eastAsia" w:ascii="宋体" w:hAnsi="宋体" w:cs="宋体"/>
                <w:color w:val="auto"/>
                <w:sz w:val="24"/>
                <w:highlight w:val="none"/>
                <w:lang w:val="en-US" w:eastAsia="zh-CN"/>
              </w:rPr>
              <w:t xml:space="preserve">.5</w:t>
            </w:r>
            <w:r>
              <w:rPr>
                <w:rFonts w:ascii="宋体" w:hAnsi="宋体" w:eastAsia="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扣0.5分，直至该项分值2分扣完为止，不提供本项不得分。</w:t>
            </w:r>
            <w:bookmarkEnd w:id="135"/>
            <w:r/>
            <w:bookmarkEnd w:id="138"/>
            <w:r/>
            <w:r/>
          </w:p>
        </w:tc>
      </w:tr>
    </w:tbl>
    <w:p>
      <w:pPr>
        <w:pStyle w:val="957"/>
        <w:jc w:val="center"/>
        <w:rPr>
          <w:rFonts w:hint="eastAsia" w:ascii="黑体" w:hAnsi="Arial" w:eastAsia="黑体"/>
          <w:b w:val="0"/>
          <w:bCs w:val="0"/>
          <w:color w:val="auto"/>
          <w:highlight w:val="none"/>
        </w:rPr>
        <w:sectPr>
          <w:footnotePr/>
          <w:endnotePr/>
          <w:type w:val="nextPage"/>
          <w:pgSz w:w="11905" w:h="16838" w:orient="portrait"/>
          <w:pgMar w:top="607" w:right="850" w:bottom="811" w:left="1134" w:header="624" w:footer="992" w:gutter="0"/>
          <w:cols w:num="1" w:sep="0" w:space="1701" w:equalWidth="1"/>
          <w:docGrid w:linePitch="360"/>
        </w:sectPr>
      </w:pPr>
      <w:r>
        <w:rPr>
          <w:rFonts w:hint="eastAsia" w:ascii="黑体" w:hAnsi="Arial" w:eastAsia="黑体"/>
          <w:b w:val="0"/>
          <w:bCs w:val="0"/>
          <w:color w:val="auto"/>
          <w:highlight w:val="none"/>
        </w:rPr>
      </w:r>
      <w:r/>
    </w:p>
    <w:p>
      <w:pPr>
        <w:pStyle w:val="957"/>
        <w:jc w:val="center"/>
        <w:rPr>
          <w:rFonts w:hint="eastAsia" w:ascii="黑体" w:hAnsi="Arial" w:eastAsia="黑体"/>
          <w:b w:val="0"/>
          <w:bCs w:val="0"/>
          <w:color w:val="auto"/>
          <w:highlight w:val="none"/>
        </w:rPr>
      </w:pPr>
      <w:r>
        <w:rPr>
          <w:rFonts w:hint="eastAsia" w:ascii="黑体" w:hAnsi="Arial" w:eastAsia="黑体"/>
          <w:b w:val="0"/>
          <w:bCs w:val="0"/>
          <w:color w:val="auto"/>
          <w:highlight w:val="none"/>
        </w:rPr>
        <w:t xml:space="preserve">第六章  响应文件格式</w:t>
      </w:r>
      <w:r/>
    </w:p>
    <w:p>
      <w:pPr>
        <w:jc w:val="center"/>
        <w:rPr>
          <w:rFonts w:hint="eastAsia" w:ascii="宋体" w:hAnsi="宋体"/>
          <w:b/>
          <w:color w:val="auto"/>
          <w:sz w:val="72"/>
          <w:highlight w:val="none"/>
        </w:rPr>
      </w:pPr>
      <w:r/>
      <w:bookmarkStart w:id="139" w:name="_Hlt26955039"/>
      <w:r/>
      <w:bookmarkEnd w:id="139"/>
      <w:r/>
      <w:bookmarkStart w:id="140" w:name="_Hlt26671244"/>
      <w:r/>
      <w:bookmarkEnd w:id="140"/>
      <w:r/>
      <w:r/>
    </w:p>
    <w:p>
      <w:pPr>
        <w:jc w:val="center"/>
        <w:rPr>
          <w:rFonts w:hint="eastAsia" w:ascii="宋体" w:hAnsi="宋体"/>
          <w:b/>
          <w:color w:val="auto"/>
          <w:sz w:val="72"/>
          <w:highlight w:val="none"/>
        </w:rPr>
      </w:pPr>
      <w:r>
        <w:rPr>
          <w:rFonts w:hint="eastAsia" w:ascii="宋体" w:hAnsi="宋体"/>
          <w:b/>
          <w:color w:val="auto"/>
          <w:sz w:val="72"/>
          <w:highlight w:val="none"/>
        </w:rPr>
        <w:t xml:space="preserve">响  应  文  件</w:t>
      </w:r>
      <w:r/>
    </w:p>
    <w:p>
      <w:pPr>
        <w:jc w:val="center"/>
        <w:rPr>
          <w:rFonts w:hint="eastAsia" w:ascii="宋体" w:hAnsi="宋体"/>
          <w:b/>
          <w:color w:val="auto"/>
          <w:sz w:val="72"/>
          <w:highlight w:val="none"/>
        </w:rPr>
      </w:pPr>
      <w:r>
        <w:rPr>
          <w:rFonts w:hint="eastAsia" w:ascii="黑体" w:hAnsi="黑体" w:eastAsia="黑体"/>
          <w:b/>
          <w:color w:val="auto"/>
          <w:sz w:val="36"/>
          <w:highlight w:val="none"/>
        </w:rPr>
        <w:t xml:space="preserve">（正或副本）</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eastAsia="宋体" w:cs="宋体"/>
          <w:b/>
          <w:color w:val="auto"/>
          <w:sz w:val="36"/>
          <w:szCs w:val="36"/>
          <w:highlight w:val="none"/>
          <w:u w:val="single"/>
        </w:rPr>
        <w:t xml:space="preserve">         </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rPr>
          <w:rFonts w:hint="eastAsia" w:ascii="宋体" w:hAnsi="宋体" w:eastAsia="宋体" w:cs="宋体"/>
          <w:b/>
          <w:color w:val="auto"/>
          <w:sz w:val="36"/>
          <w:szCs w:val="36"/>
          <w:highlight w:val="none"/>
          <w:u w:val="single"/>
        </w:rPr>
        <w:t xml:space="preserve">         </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w:t>
      </w:r>
      <w:r>
        <w:rPr>
          <w:rFonts w:hint="eastAsia" w:ascii="宋体" w:hAnsi="宋体" w:eastAsia="宋体" w:cs="宋体"/>
          <w:b/>
          <w:color w:val="auto"/>
          <w:sz w:val="36"/>
          <w:szCs w:val="36"/>
          <w:highlight w:val="none"/>
        </w:rPr>
        <w:t xml:space="preserve">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b/>
          <w:color w:val="auto"/>
          <w:sz w:val="36"/>
          <w:highlight w:val="none"/>
          <w:u w:val="single"/>
        </w:rPr>
        <w:t xml:space="preserve">              </w:t>
      </w:r>
      <w:r/>
    </w:p>
    <w:p>
      <w:pPr>
        <w:rPr>
          <w:rFonts w:hint="eastAsia"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rPr>
          <w:rFonts w:hint="eastAsia" w:ascii="宋体" w:hAnsi="宋体"/>
          <w:b/>
          <w:color w:val="auto"/>
          <w:sz w:val="36"/>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pStyle w:val="987"/>
        <w:jc w:val="center"/>
        <w:spacing w:beforeAutospacing="0" w:afterAutospacing="0" w:line="0" w:lineRule="atLeast"/>
        <w:rPr>
          <w:rFonts w:ascii="宋体" w:hAnsi="宋体" w:eastAsia="宋体" w:cs="宋体"/>
          <w:b/>
          <w:color w:val="auto"/>
          <w:sz w:val="32"/>
          <w:szCs w:val="32"/>
          <w:highlight w:val="none"/>
        </w:rPr>
      </w:pPr>
      <w:r>
        <w:rPr>
          <w:rFonts w:ascii="宋体" w:hAnsi="宋体"/>
          <w:color w:val="auto"/>
          <w:sz w:val="24"/>
          <w:highlight w:val="none"/>
        </w:rPr>
        <w:br w:type="page" w:clear="all"/>
      </w:r>
      <w:r>
        <w:rPr>
          <w:rFonts w:hint="eastAsia" w:ascii="宋体" w:hAnsi="宋体" w:eastAsia="宋体" w:cs="宋体"/>
          <w:b/>
          <w:color w:val="auto"/>
          <w:sz w:val="32"/>
          <w:szCs w:val="32"/>
          <w:highlight w:val="none"/>
        </w:rPr>
        <w:t xml:space="preserve">响应文件目录</w:t>
      </w:r>
      <w:r/>
    </w:p>
    <w:p>
      <w:pPr>
        <w:pStyle w:val="987"/>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987"/>
        <w:ind w:left="480" w:firstLine="480"/>
        <w:jc w:val="both"/>
        <w:keepLines w:val="0"/>
        <w:keepNext w:val="0"/>
        <w:pageBreakBefore w:val="0"/>
        <w:spacing w:before="0" w:beforeAutospacing="0" w:after="0" w:afterAutospacing="0" w:line="560" w:lineRule="exact"/>
        <w:widowControl/>
        <w:rPr>
          <w:rFonts w:ascii="宋体" w:hAnsi="宋体" w:eastAsia="宋体" w:cs="宋体"/>
          <w:iCs/>
          <w:color w:val="auto"/>
          <w:highlight w:val="none"/>
        </w:rPr>
      </w:pPr>
      <w:r>
        <w:rPr>
          <w:rFonts w:hint="eastAsia" w:ascii="宋体" w:hAnsi="宋体" w:eastAsia="宋体" w:cs="宋体"/>
          <w:iCs/>
          <w:color w:val="auto"/>
          <w:highlight w:val="none"/>
        </w:rPr>
        <w:t xml:space="preserve">一、法人或者其他组织的营业执照等证明文件，自然人的身份证明</w:t>
      </w:r>
      <w:r/>
    </w:p>
    <w:p>
      <w:pPr>
        <w:pStyle w:val="987"/>
        <w:ind w:left="480" w:firstLine="480"/>
        <w:jc w:val="both"/>
        <w:keepLines w:val="0"/>
        <w:keepNext w:val="0"/>
        <w:pageBreakBefore w:val="0"/>
        <w:spacing w:before="0" w:beforeAutospacing="0" w:after="0" w:afterAutospacing="0" w:line="560" w:lineRule="exact"/>
        <w:widowControl/>
        <w:rPr>
          <w:rFonts w:ascii="宋体" w:hAnsi="宋体" w:eastAsia="宋体" w:cs="宋体"/>
          <w:iCs/>
          <w:color w:val="auto"/>
          <w:highlight w:val="none"/>
        </w:rPr>
      </w:pPr>
      <w:r>
        <w:rPr>
          <w:rFonts w:hint="eastAsia" w:ascii="宋体" w:hAnsi="宋体" w:eastAsia="宋体" w:cs="宋体"/>
          <w:iCs/>
          <w:color w:val="auto"/>
          <w:highlight w:val="none"/>
        </w:rPr>
        <w:t xml:space="preserve">二、上一年度的财务状况报告（至少提供资产负债表、利润表、现金流量表，磋商供应商成立不满一年无需提供）</w:t>
      </w:r>
      <w:r/>
    </w:p>
    <w:p>
      <w:pPr>
        <w:pStyle w:val="987"/>
        <w:ind w:left="480" w:firstLine="480"/>
        <w:jc w:val="both"/>
        <w:keepLines w:val="0"/>
        <w:keepNext w:val="0"/>
        <w:pageBreakBefore w:val="0"/>
        <w:spacing w:before="0" w:beforeAutospacing="0" w:after="0" w:afterAutospacing="0" w:line="560" w:lineRule="exact"/>
        <w:widowControl/>
        <w:rPr>
          <w:rFonts w:ascii="宋体" w:hAnsi="宋体" w:eastAsia="宋体" w:cs="宋体"/>
          <w:iCs/>
          <w:color w:val="auto"/>
          <w:highlight w:val="none"/>
        </w:rPr>
      </w:pPr>
      <w:r>
        <w:rPr>
          <w:rFonts w:hint="eastAsia" w:ascii="宋体" w:hAnsi="宋体" w:eastAsia="宋体" w:cs="宋体"/>
          <w:iCs/>
          <w:color w:val="auto"/>
          <w:highlight w:val="none"/>
        </w:rPr>
        <w:t xml:space="preserve">三、具备履行合同所必需的设备和专业技术能力的书面声明</w:t>
      </w:r>
      <w:r/>
    </w:p>
    <w:p>
      <w:pPr>
        <w:pStyle w:val="987"/>
        <w:ind w:left="480" w:firstLine="480"/>
        <w:jc w:val="both"/>
        <w:keepLines w:val="0"/>
        <w:keepNext w:val="0"/>
        <w:pageBreakBefore w:val="0"/>
        <w:spacing w:before="0" w:beforeAutospacing="0" w:after="0" w:afterAutospacing="0" w:line="560" w:lineRule="exact"/>
        <w:widowControl/>
        <w:rPr>
          <w:rFonts w:hint="eastAsia" w:ascii="宋体" w:hAnsi="宋体" w:eastAsia="宋体" w:cs="宋体"/>
          <w:iCs/>
          <w:color w:val="auto"/>
          <w:highlight w:val="none"/>
        </w:rPr>
      </w:pPr>
      <w:r>
        <w:rPr>
          <w:rFonts w:hint="eastAsia" w:ascii="宋体" w:hAnsi="宋体" w:eastAsia="宋体" w:cs="宋体"/>
          <w:iCs/>
          <w:color w:val="auto"/>
          <w:highlight w:val="non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987"/>
        <w:ind w:left="480" w:firstLine="480"/>
        <w:jc w:val="both"/>
        <w:keepLines w:val="0"/>
        <w:keepNext w:val="0"/>
        <w:pageBreakBefore w:val="0"/>
        <w:spacing w:before="0" w:beforeAutospacing="0" w:after="0" w:afterAutospacing="0" w:line="560" w:lineRule="exact"/>
        <w:widowControl/>
        <w:rPr>
          <w:rFonts w:hint="eastAsia" w:ascii="宋体" w:hAnsi="宋体" w:eastAsia="宋体" w:cs="宋体"/>
          <w:iCs/>
          <w:color w:val="auto"/>
          <w:highlight w:val="none"/>
        </w:rPr>
      </w:pPr>
      <w:r>
        <w:rPr>
          <w:rFonts w:hint="eastAsia" w:ascii="宋体" w:hAnsi="宋体" w:eastAsia="宋体" w:cs="宋体"/>
          <w:iCs/>
          <w:color w:val="auto"/>
          <w:highlight w:val="none"/>
        </w:rPr>
        <w:t xml:space="preserve">五、参加政府采购活动前 3 年内在经营活动中没有重大违法记录的书面声明</w:t>
      </w:r>
      <w:r/>
    </w:p>
    <w:p>
      <w:pPr>
        <w:pStyle w:val="987"/>
        <w:ind w:left="480" w:firstLine="480"/>
        <w:jc w:val="both"/>
        <w:keepLines w:val="0"/>
        <w:keepNext w:val="0"/>
        <w:pageBreakBefore w:val="0"/>
        <w:spacing w:before="0" w:beforeAutospacing="0" w:after="0" w:afterAutospacing="0" w:line="560" w:lineRule="exact"/>
        <w:widowControl/>
        <w:rPr>
          <w:rFonts w:hint="eastAsia" w:ascii="宋体" w:hAnsi="宋体" w:eastAsia="宋体" w:cs="宋体"/>
          <w:iCs/>
          <w:color w:val="auto"/>
          <w:highlight w:val="none"/>
        </w:rPr>
      </w:pPr>
      <w:r>
        <w:rPr>
          <w:rFonts w:hint="eastAsia" w:ascii="宋体" w:hAnsi="宋体" w:eastAsia="宋体" w:cs="宋体"/>
          <w:iCs/>
          <w:color w:val="auto"/>
          <w:highlight w:val="none"/>
        </w:rPr>
        <w:t xml:space="preserve">六、特定资格要求的证明文件（如果本项目设置特定资格要求，则需要提供）</w:t>
      </w:r>
      <w:r/>
    </w:p>
    <w:p>
      <w:pPr>
        <w:pStyle w:val="987"/>
        <w:ind w:left="480" w:firstLine="480"/>
        <w:jc w:val="both"/>
        <w:keepLines w:val="0"/>
        <w:keepNext w:val="0"/>
        <w:pageBreakBefore w:val="0"/>
        <w:spacing w:before="0" w:beforeAutospacing="0" w:after="0" w:afterAutospacing="0" w:line="560" w:lineRule="exact"/>
        <w:widowControl/>
        <w:rPr>
          <w:rFonts w:hint="eastAsia" w:ascii="宋体" w:hAnsi="宋体" w:eastAsia="宋体" w:cs="宋体"/>
          <w:iCs/>
          <w:color w:val="auto"/>
          <w:highlight w:val="none"/>
        </w:rPr>
      </w:pPr>
      <w:r>
        <w:rPr>
          <w:rFonts w:hint="eastAsia" w:ascii="宋体" w:hAnsi="宋体" w:eastAsia="宋体" w:cs="宋体"/>
          <w:iCs/>
          <w:color w:val="auto"/>
          <w:highlight w:val="none"/>
        </w:rPr>
        <w:t xml:space="preserve">七、法人授权书</w:t>
      </w:r>
      <w:r/>
    </w:p>
    <w:p>
      <w:pPr>
        <w:pStyle w:val="987"/>
        <w:ind w:left="480" w:firstLine="480"/>
        <w:jc w:val="both"/>
        <w:keepLines w:val="0"/>
        <w:keepNext w:val="0"/>
        <w:pageBreakBefore w:val="0"/>
        <w:spacing w:before="0" w:beforeAutospacing="0" w:after="0" w:afterAutospacing="0" w:line="560" w:lineRule="exact"/>
        <w:widowControl/>
        <w:rPr>
          <w:rFonts w:hint="eastAsia" w:ascii="宋体" w:hAnsi="宋体" w:eastAsia="宋体" w:cs="宋体"/>
          <w:iCs/>
          <w:color w:val="auto"/>
          <w:highlight w:val="none"/>
        </w:rPr>
      </w:pPr>
      <w:r>
        <w:rPr>
          <w:rFonts w:hint="eastAsia" w:ascii="宋体" w:hAnsi="宋体" w:eastAsia="宋体" w:cs="宋体"/>
          <w:iCs/>
          <w:color w:val="auto"/>
          <w:highlight w:val="none"/>
        </w:rPr>
        <w:t xml:space="preserve">八、磋商响应函</w:t>
      </w:r>
      <w:r/>
    </w:p>
    <w:p>
      <w:pPr>
        <w:pStyle w:val="987"/>
        <w:ind w:left="480" w:firstLine="480"/>
        <w:jc w:val="both"/>
        <w:keepLines w:val="0"/>
        <w:keepNext w:val="0"/>
        <w:pageBreakBefore w:val="0"/>
        <w:spacing w:before="0" w:beforeAutospacing="0" w:after="0" w:afterAutospacing="0" w:line="560" w:lineRule="exact"/>
        <w:widowControl/>
        <w:rPr>
          <w:rFonts w:hint="eastAsia" w:ascii="宋体" w:hAnsi="宋体" w:eastAsia="宋体" w:cs="宋体"/>
          <w:iCs/>
          <w:color w:val="auto"/>
          <w:highlight w:val="none"/>
        </w:rPr>
      </w:pPr>
      <w:r>
        <w:rPr>
          <w:rFonts w:hint="eastAsia" w:ascii="宋体" w:hAnsi="宋体" w:eastAsia="宋体" w:cs="宋体"/>
          <w:iCs/>
          <w:color w:val="auto"/>
          <w:highlight w:val="none"/>
        </w:rPr>
        <w:t xml:space="preserve">九、中小企业声明函</w:t>
      </w:r>
      <w:r/>
    </w:p>
    <w:p>
      <w:pPr>
        <w:pStyle w:val="987"/>
        <w:ind w:left="480" w:firstLine="480"/>
        <w:jc w:val="both"/>
        <w:keepLines w:val="0"/>
        <w:keepNext w:val="0"/>
        <w:pageBreakBefore w:val="0"/>
        <w:spacing w:before="0" w:beforeAutospacing="0" w:after="0" w:afterAutospacing="0" w:line="560" w:lineRule="exact"/>
        <w:widowControl/>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十、残疾人福利性单位声明函</w:t>
      </w:r>
      <w:r/>
    </w:p>
    <w:p>
      <w:pPr>
        <w:pStyle w:val="987"/>
        <w:ind w:left="480" w:firstLine="480"/>
        <w:jc w:val="both"/>
        <w:keepLines w:val="0"/>
        <w:keepNext w:val="0"/>
        <w:pageBreakBefore w:val="0"/>
        <w:spacing w:before="0" w:beforeAutospacing="0" w:after="0" w:afterAutospacing="0" w:line="560" w:lineRule="exact"/>
        <w:widowControl/>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十一、磋商报价表</w:t>
      </w:r>
      <w:r/>
    </w:p>
    <w:p>
      <w:pPr>
        <w:pStyle w:val="987"/>
        <w:ind w:left="480" w:firstLine="480"/>
        <w:jc w:val="both"/>
        <w:keepLines w:val="0"/>
        <w:keepNext w:val="0"/>
        <w:pageBreakBefore w:val="0"/>
        <w:spacing w:before="0" w:beforeAutospacing="0" w:after="0" w:afterAutospacing="0" w:line="560" w:lineRule="exact"/>
        <w:widowControl/>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十二、分项报价表</w:t>
      </w:r>
      <w:r/>
    </w:p>
    <w:p>
      <w:pPr>
        <w:pStyle w:val="987"/>
        <w:ind w:left="480" w:firstLine="480"/>
        <w:jc w:val="both"/>
        <w:keepLines w:val="0"/>
        <w:keepNext w:val="0"/>
        <w:pageBreakBefore w:val="0"/>
        <w:spacing w:before="0" w:beforeAutospacing="0" w:after="0" w:afterAutospacing="0" w:line="560" w:lineRule="exact"/>
        <w:widowControl/>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十三、技术要求响应及偏离表</w:t>
      </w:r>
      <w:r/>
    </w:p>
    <w:p>
      <w:pPr>
        <w:pStyle w:val="987"/>
        <w:ind w:left="480" w:firstLine="480"/>
        <w:jc w:val="both"/>
        <w:keepLines w:val="0"/>
        <w:keepNext w:val="0"/>
        <w:pageBreakBefore w:val="0"/>
        <w:spacing w:before="0" w:beforeAutospacing="0" w:after="0" w:afterAutospacing="0" w:line="560" w:lineRule="exact"/>
        <w:widowControl/>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十四、商务要求响应及偏离表</w:t>
      </w:r>
      <w:r/>
    </w:p>
    <w:p>
      <w:pPr>
        <w:pStyle w:val="987"/>
        <w:ind w:left="480" w:firstLine="480"/>
        <w:jc w:val="both"/>
        <w:keepLines w:val="0"/>
        <w:keepNext w:val="0"/>
        <w:pageBreakBefore w:val="0"/>
        <w:spacing w:before="0" w:beforeAutospacing="0" w:after="0" w:afterAutospacing="0" w:line="560" w:lineRule="exact"/>
        <w:widowControl/>
        <w:rPr>
          <w:rFonts w:ascii="宋体" w:hAnsi="宋体" w:eastAsia="宋体" w:cs="宋体"/>
          <w:iCs/>
          <w:color w:val="auto"/>
          <w:highlight w:val="none"/>
        </w:rPr>
      </w:pPr>
      <w:r>
        <w:rPr>
          <w:rFonts w:hint="eastAsia" w:ascii="宋体" w:hAnsi="宋体" w:eastAsia="宋体" w:cs="宋体"/>
          <w:iCs/>
          <w:color w:val="auto"/>
          <w:highlight w:val="none"/>
        </w:rPr>
        <w:t xml:space="preserve">十五、开标一览表</w:t>
      </w:r>
      <w:r/>
    </w:p>
    <w:p>
      <w:pPr>
        <w:pStyle w:val="987"/>
        <w:ind w:left="480" w:firstLine="480"/>
        <w:jc w:val="both"/>
        <w:keepLines w:val="0"/>
        <w:keepNext w:val="0"/>
        <w:pageBreakBefore w:val="0"/>
        <w:spacing w:before="0" w:beforeAutospacing="0" w:after="0" w:afterAutospacing="0" w:line="560" w:lineRule="exact"/>
        <w:widowControl/>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十六、技术方案、服务承诺、培训承诺等</w:t>
      </w:r>
      <w:r/>
    </w:p>
    <w:p>
      <w:pPr>
        <w:pStyle w:val="987"/>
        <w:ind w:left="480" w:firstLine="480"/>
        <w:jc w:val="both"/>
        <w:keepLines w:val="0"/>
        <w:keepNext w:val="0"/>
        <w:pageBreakBefore w:val="0"/>
        <w:spacing w:before="0" w:beforeAutospacing="0" w:after="0" w:afterAutospacing="0" w:line="560" w:lineRule="exact"/>
        <w:widowControl/>
        <w:rPr>
          <w:rFonts w:ascii="宋体" w:hAnsi="宋体" w:eastAsia="宋体" w:cs="宋体"/>
          <w:iCs/>
          <w:color w:val="auto"/>
          <w:sz w:val="24"/>
          <w:highlight w:val="none"/>
        </w:rPr>
      </w:pPr>
      <w:r>
        <w:rPr>
          <w:rFonts w:hint="eastAsia" w:ascii="宋体" w:hAnsi="宋体" w:eastAsia="宋体" w:cs="宋体"/>
          <w:iCs/>
          <w:color w:val="auto"/>
          <w:sz w:val="24"/>
          <w:highlight w:val="none"/>
        </w:rPr>
        <w:t xml:space="preserve">十七、盐城市政府采购事前信用承诺书</w:t>
      </w:r>
      <w:r/>
    </w:p>
    <w:p>
      <w:pPr>
        <w:pStyle w:val="987"/>
        <w:ind w:firstLine="480"/>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987"/>
        <w:ind w:firstLine="480"/>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987"/>
        <w:ind w:firstLine="480"/>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987"/>
        <w:ind w:firstLine="480"/>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987"/>
        <w:ind w:firstLine="480"/>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987"/>
        <w:ind w:firstLine="480"/>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987"/>
        <w:jc w:val="both"/>
        <w:spacing w:beforeAutospacing="0" w:afterAutospacing="0"/>
        <w:rPr>
          <w:rFonts w:hint="eastAsia" w:ascii="宋体" w:hAnsi="宋体" w:eastAsia="宋体" w:cs="黑体"/>
          <w:b/>
          <w:bCs/>
          <w:i w:val="0"/>
          <w:iCs/>
          <w:color w:val="auto"/>
          <w:sz w:val="32"/>
          <w:szCs w:val="32"/>
          <w:highlight w:val="none"/>
          <w:u w:val="none"/>
        </w:rPr>
      </w:pPr>
      <w:r>
        <w:rPr>
          <w:rFonts w:hint="eastAsia" w:ascii="宋体" w:hAnsi="宋体" w:eastAsia="宋体" w:cs="黑体"/>
          <w:b/>
          <w:bCs/>
          <w:i w:val="0"/>
          <w:iCs/>
          <w:color w:val="auto"/>
          <w:sz w:val="32"/>
          <w:szCs w:val="32"/>
          <w:highlight w:val="none"/>
          <w:u w:val="none"/>
        </w:rPr>
      </w:r>
      <w:r/>
    </w:p>
    <w:p>
      <w:pPr>
        <w:pStyle w:val="987"/>
        <w:jc w:val="both"/>
        <w:spacing w:beforeAutospacing="0" w:afterAutospacing="0"/>
        <w:rPr>
          <w:rFonts w:ascii="宋体" w:hAnsi="宋体" w:eastAsia="宋体"/>
          <w:b/>
          <w:bCs/>
          <w:i w:val="0"/>
          <w:iCs/>
          <w:color w:val="auto"/>
          <w:highlight w:val="none"/>
          <w:u w:val="none"/>
        </w:rPr>
      </w:pPr>
      <w:r>
        <w:rPr>
          <w:rFonts w:hint="eastAsia" w:ascii="宋体" w:hAnsi="宋体" w:eastAsia="宋体" w:cs="黑体"/>
          <w:b/>
          <w:bCs/>
          <w:i w:val="0"/>
          <w:iCs/>
          <w:color w:val="auto"/>
          <w:sz w:val="32"/>
          <w:szCs w:val="32"/>
          <w:highlight w:val="none"/>
          <w:u w:val="none"/>
        </w:rPr>
        <w:t xml:space="preserve">一、法人或者其他组织的营业执照等证明文件，自然人的身份证明</w:t>
      </w:r>
      <w:r/>
    </w:p>
    <w:p>
      <w:pPr>
        <w:pStyle w:val="987"/>
        <w:ind w:firstLine="480"/>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987"/>
        <w:jc w:val="both"/>
        <w:spacing w:beforeAutospacing="0" w:afterAutospacing="0"/>
        <w:rPr>
          <w:rFonts w:hint="eastAsia" w:ascii="宋体" w:hAnsi="宋体" w:eastAsia="宋体" w:cs="黑体"/>
          <w:b/>
          <w:bCs/>
          <w:i w:val="0"/>
          <w:iCs/>
          <w:color w:val="auto"/>
          <w:sz w:val="32"/>
          <w:szCs w:val="32"/>
          <w:highlight w:val="none"/>
          <w:u w:val="none"/>
        </w:rPr>
      </w:pPr>
      <w:r>
        <w:rPr>
          <w:rFonts w:hint="eastAsia" w:ascii="宋体" w:hAnsi="宋体" w:eastAsia="宋体" w:cs="黑体"/>
          <w:b/>
          <w:bCs/>
          <w:i w:val="0"/>
          <w:iCs/>
          <w:color w:val="auto"/>
          <w:sz w:val="32"/>
          <w:szCs w:val="32"/>
          <w:highlight w:val="none"/>
          <w:u w:val="none"/>
        </w:rPr>
        <w:t xml:space="preserve">二、上一年度的财务状况报告</w:t>
      </w:r>
      <w:r/>
    </w:p>
    <w:p>
      <w:pPr>
        <w:ind w:firstLine="480"/>
        <w:jc w:val="left"/>
        <w:tabs>
          <w:tab w:val="left" w:pos="1331" w:leader="none"/>
        </w:tabs>
        <w:rPr>
          <w:rFonts w:ascii="宋体" w:hAnsi="宋体" w:eastAsia="宋体" w:cs="宋体"/>
          <w:iCs/>
          <w:color w:val="auto"/>
          <w:sz w:val="24"/>
          <w:highlight w:val="none"/>
        </w:rPr>
      </w:pPr>
      <w:r>
        <w:rPr>
          <w:rFonts w:hint="eastAsia" w:ascii="宋体" w:hAnsi="宋体" w:eastAsia="宋体" w:cs="宋体"/>
          <w:iCs/>
          <w:color w:val="auto"/>
          <w:sz w:val="24"/>
          <w:highlight w:val="none"/>
        </w:rPr>
        <w:t xml:space="preserve">（至少提供资产负债表、利润表、现金流量表，投标人成立不满一年无需提供）</w:t>
      </w:r>
      <w:r/>
    </w:p>
    <w:p>
      <w:pPr>
        <w:pStyle w:val="987"/>
        <w:ind w:firstLine="480"/>
        <w:jc w:val="both"/>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987"/>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987"/>
        <w:jc w:val="both"/>
        <w:spacing w:beforeAutospacing="0" w:afterAutospacing="0"/>
        <w:rPr>
          <w:rFonts w:hint="eastAsia" w:ascii="宋体" w:hAnsi="宋体" w:eastAsia="宋体" w:cs="黑体"/>
          <w:b/>
          <w:bCs/>
          <w:i w:val="0"/>
          <w:iCs/>
          <w:color w:val="auto"/>
          <w:sz w:val="32"/>
          <w:szCs w:val="32"/>
          <w:highlight w:val="none"/>
          <w:u w:val="none"/>
        </w:rPr>
      </w:pPr>
      <w:r>
        <w:rPr>
          <w:rFonts w:hint="eastAsia" w:ascii="宋体" w:hAnsi="宋体" w:eastAsia="宋体" w:cs="黑体"/>
          <w:b/>
          <w:bCs/>
          <w:i w:val="0"/>
          <w:iCs/>
          <w:color w:val="auto"/>
          <w:sz w:val="32"/>
          <w:szCs w:val="32"/>
          <w:highlight w:val="none"/>
          <w:u w:val="none"/>
        </w:rPr>
        <w:t xml:space="preserve">三、具备履行合同所必需的设备和专业技术能力的书面声明</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pStyle w:val="987"/>
        <w:jc w:val="both"/>
        <w:spacing w:beforeAutospacing="0" w:afterAutospacing="0"/>
        <w:rPr>
          <w:rFonts w:ascii="宋体" w:hAnsi="宋体" w:eastAsia="宋体" w:cs="黑体"/>
          <w:i/>
          <w:color w:val="auto"/>
          <w:sz w:val="32"/>
          <w:szCs w:val="32"/>
          <w:highlight w:val="none"/>
          <w:u w:val="single"/>
        </w:rPr>
      </w:pPr>
      <w:r>
        <w:rPr>
          <w:rFonts w:ascii="宋体" w:hAnsi="宋体" w:eastAsia="宋体" w:cs="黑体"/>
          <w:i/>
          <w:color w:val="auto"/>
          <w:sz w:val="32"/>
          <w:szCs w:val="32"/>
          <w:highlight w:val="none"/>
          <w:u w:val="single"/>
        </w:rPr>
      </w:r>
      <w:r/>
    </w:p>
    <w:p>
      <w:pPr>
        <w:pStyle w:val="987"/>
        <w:jc w:val="both"/>
        <w:spacing w:beforeAutospacing="0" w:afterAutospacing="0"/>
        <w:rPr>
          <w:rFonts w:hint="eastAsia" w:ascii="宋体" w:hAnsi="宋体" w:eastAsia="宋体" w:cs="黑体"/>
          <w:b/>
          <w:bCs/>
          <w:i w:val="0"/>
          <w:iCs/>
          <w:color w:val="auto"/>
          <w:sz w:val="32"/>
          <w:szCs w:val="32"/>
          <w:highlight w:val="none"/>
          <w:u w:val="none"/>
        </w:rPr>
      </w:pPr>
      <w:r>
        <w:rPr>
          <w:rFonts w:hint="eastAsia" w:ascii="宋体" w:hAnsi="宋体" w:eastAsia="宋体" w:cs="黑体"/>
          <w:b/>
          <w:bCs/>
          <w:i w:val="0"/>
          <w:iCs/>
          <w:color w:val="auto"/>
          <w:sz w:val="32"/>
          <w:szCs w:val="32"/>
          <w:highlight w:val="none"/>
          <w:u w:val="none"/>
        </w:rPr>
        <w:t xml:space="preserve">四、依法缴纳税收和社会保障资金的相关材料</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987"/>
        <w:jc w:val="both"/>
        <w:spacing w:beforeAutospacing="0" w:afterAutospacing="0" w:line="0" w:lineRule="atLeast"/>
        <w:rPr>
          <w:rFonts w:ascii="宋体" w:hAnsi="宋体" w:eastAsia="宋体"/>
          <w:color w:val="auto"/>
          <w:highlight w:val="none"/>
        </w:rPr>
      </w:pPr>
      <w:r>
        <w:rPr>
          <w:rFonts w:hint="eastAsia" w:ascii="宋体" w:hAnsi="宋体" w:eastAsia="宋体" w:cs="宋体"/>
          <w:color w:val="auto"/>
          <w:highlight w:val="none"/>
        </w:rPr>
        <w:t xml:space="preserve">                                     </w:t>
      </w:r>
      <w:r/>
    </w:p>
    <w:p>
      <w:pPr>
        <w:pStyle w:val="987"/>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987"/>
        <w:jc w:val="both"/>
        <w:spacing w:beforeAutospacing="0" w:afterAutospacing="0"/>
        <w:rPr>
          <w:rFonts w:hint="eastAsia" w:ascii="宋体" w:hAnsi="宋体" w:eastAsia="宋体" w:cs="黑体"/>
          <w:b/>
          <w:bCs/>
          <w:i w:val="0"/>
          <w:iCs/>
          <w:color w:val="auto"/>
          <w:sz w:val="32"/>
          <w:szCs w:val="32"/>
          <w:highlight w:val="none"/>
          <w:u w:val="none"/>
        </w:rPr>
      </w:pPr>
      <w:r>
        <w:rPr>
          <w:rFonts w:hint="eastAsia" w:ascii="宋体" w:hAnsi="宋体" w:eastAsia="宋体" w:cs="黑体"/>
          <w:b/>
          <w:bCs/>
          <w:i w:val="0"/>
          <w:iCs/>
          <w:color w:val="auto"/>
          <w:sz w:val="32"/>
          <w:szCs w:val="32"/>
          <w:highlight w:val="none"/>
          <w:u w:val="none"/>
        </w:rPr>
        <w:t xml:space="preserve">五、参加政府采购活动前 3 年内在经营活动中没有重大违法记录的书面声明</w:t>
      </w:r>
      <w:r/>
    </w:p>
    <w:p>
      <w:pPr>
        <w:pStyle w:val="987"/>
        <w:jc w:val="center"/>
        <w:spacing w:beforeAutospacing="0" w:afterAutospacing="0" w:line="0" w:lineRule="atLeast"/>
        <w:rPr>
          <w:rFonts w:ascii="宋体" w:hAnsi="宋体" w:eastAsia="宋体"/>
          <w:color w:val="auto"/>
          <w:highlight w:val="none"/>
        </w:rPr>
      </w:pPr>
      <w:r>
        <w:rPr>
          <w:rFonts w:hint="eastAsia" w:ascii="宋体" w:hAnsi="宋体" w:eastAsia="宋体" w:cs="宋体"/>
          <w:b/>
          <w:color w:val="auto"/>
          <w:sz w:val="44"/>
          <w:szCs w:val="44"/>
          <w:highlight w:val="none"/>
        </w:rPr>
        <w:t xml:space="preserve">声  明</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87"/>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987"/>
        <w:jc w:val="both"/>
        <w:spacing w:beforeAutospacing="0" w:afterAutospacing="0"/>
        <w:rPr>
          <w:rFonts w:hint="eastAsia" w:ascii="宋体" w:hAnsi="宋体" w:eastAsia="宋体" w:cs="黑体"/>
          <w:b/>
          <w:bCs/>
          <w:i w:val="0"/>
          <w:iCs/>
          <w:color w:val="auto"/>
          <w:sz w:val="32"/>
          <w:szCs w:val="32"/>
          <w:highlight w:val="none"/>
          <w:u w:val="none"/>
        </w:rPr>
      </w:pPr>
      <w:r>
        <w:rPr>
          <w:rFonts w:hint="eastAsia" w:ascii="宋体" w:hAnsi="宋体" w:eastAsia="宋体" w:cs="黑体"/>
          <w:b/>
          <w:bCs/>
          <w:i w:val="0"/>
          <w:iCs/>
          <w:color w:val="auto"/>
          <w:sz w:val="32"/>
          <w:szCs w:val="32"/>
          <w:highlight w:val="none"/>
          <w:u w:val="none"/>
        </w:rPr>
        <w:t xml:space="preserve">六、特定资格要求的证明文件</w:t>
      </w:r>
      <w:r/>
    </w:p>
    <w:p>
      <w:pPr>
        <w:pStyle w:val="987"/>
        <w:ind w:firstLine="480"/>
        <w:jc w:val="both"/>
        <w:keepLines w:val="0"/>
        <w:keepNext w:val="0"/>
        <w:pageBreakBefore w:val="0"/>
        <w:spacing w:before="0" w:beforeAutospacing="0" w:after="0" w:afterAutospacing="0" w:line="5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987"/>
        <w:jc w:val="center"/>
        <w:spacing w:beforeAutospacing="0" w:afterAutospacing="0"/>
        <w:rPr>
          <w:rFonts w:ascii="宋体" w:hAnsi="宋体" w:eastAsia="宋体" w:cs="黑体"/>
          <w:i/>
          <w:color w:val="auto"/>
          <w:sz w:val="32"/>
          <w:szCs w:val="32"/>
          <w:highlight w:val="none"/>
          <w:u w:val="single"/>
        </w:rPr>
      </w:pPr>
      <w:r>
        <w:rPr>
          <w:rFonts w:ascii="宋体" w:hAnsi="宋体" w:eastAsia="宋体" w:cs="黑体"/>
          <w:i/>
          <w:color w:val="auto"/>
          <w:sz w:val="32"/>
          <w:szCs w:val="32"/>
          <w:highlight w:val="none"/>
          <w:u w:val="single"/>
        </w:rPr>
      </w:r>
      <w:r/>
    </w:p>
    <w:p>
      <w:pPr>
        <w:pStyle w:val="987"/>
        <w:jc w:val="center"/>
        <w:spacing w:beforeAutospacing="0" w:afterAutospacing="0"/>
        <w:rPr>
          <w:rFonts w:hint="eastAsia" w:ascii="宋体" w:hAnsi="宋体" w:eastAsia="宋体" w:cs="黑体"/>
          <w:b/>
          <w:bCs/>
          <w:i w:val="0"/>
          <w:iCs/>
          <w:color w:val="auto"/>
          <w:sz w:val="32"/>
          <w:szCs w:val="32"/>
          <w:highlight w:val="none"/>
          <w:u w:val="none"/>
        </w:rPr>
      </w:pPr>
      <w:r>
        <w:rPr>
          <w:rFonts w:hint="eastAsia" w:ascii="宋体" w:hAnsi="宋体" w:eastAsia="宋体" w:cs="黑体"/>
          <w:b/>
          <w:bCs/>
          <w:i w:val="0"/>
          <w:iCs/>
          <w:color w:val="auto"/>
          <w:sz w:val="32"/>
          <w:szCs w:val="32"/>
          <w:highlight w:val="none"/>
          <w:u w:val="none"/>
        </w:rPr>
      </w:r>
      <w:r/>
    </w:p>
    <w:p>
      <w:pPr>
        <w:pStyle w:val="987"/>
        <w:jc w:val="center"/>
        <w:spacing w:beforeAutospacing="0" w:afterAutospacing="0"/>
        <w:rPr>
          <w:rFonts w:hint="eastAsia" w:ascii="宋体" w:hAnsi="宋体" w:eastAsia="宋体" w:cs="黑体"/>
          <w:b/>
          <w:bCs/>
          <w:i w:val="0"/>
          <w:iCs/>
          <w:color w:val="auto"/>
          <w:sz w:val="32"/>
          <w:szCs w:val="32"/>
          <w:highlight w:val="none"/>
          <w:u w:val="none"/>
        </w:rPr>
      </w:pPr>
      <w:r>
        <w:rPr>
          <w:rFonts w:hint="eastAsia" w:ascii="宋体" w:hAnsi="宋体" w:eastAsia="宋体" w:cs="黑体"/>
          <w:b/>
          <w:bCs/>
          <w:i w:val="0"/>
          <w:iCs/>
          <w:color w:val="auto"/>
          <w:sz w:val="32"/>
          <w:szCs w:val="32"/>
          <w:highlight w:val="none"/>
          <w:u w:val="none"/>
        </w:rPr>
        <w:t xml:space="preserve">七、法人授权书</w:t>
      </w:r>
      <w:r/>
    </w:p>
    <w:p>
      <w:pPr>
        <w:pStyle w:val="987"/>
        <w:ind w:firstLine="480"/>
        <w:jc w:val="both"/>
        <w:keepLines w:val="0"/>
        <w:keepNext w:val="0"/>
        <w:pageBreakBefore w:val="0"/>
        <w:spacing w:before="0" w:beforeAutospacing="0" w:after="0" w:afterAutospacing="0" w:line="760" w:lineRule="exact"/>
        <w:widowControl/>
        <w:tabs>
          <w:tab w:val="left" w:pos="360" w:leader="none"/>
        </w:tabs>
        <w:rPr>
          <w:rFonts w:ascii="宋体" w:hAnsi="宋体" w:eastAsia="宋体"/>
          <w:color w:val="auto"/>
          <w:highlight w:val="none"/>
        </w:rPr>
      </w:pPr>
      <w:r>
        <w:rPr>
          <w:rFonts w:ascii="宋体" w:hAnsi="宋体" w:eastAsia="宋体"/>
          <w:color w:val="auto"/>
          <w:highlight w:val="none"/>
        </w:rPr>
        <w:t xml:space="preserve">本授权书声明：____________（供应商名称）授权________________（被授权人的姓名）为我方就JSZC-</w:t>
      </w:r>
      <w:r>
        <w:rPr>
          <w:rFonts w:ascii="宋体" w:hAnsi="宋体" w:eastAsia="宋体"/>
          <w:color w:val="auto"/>
          <w:highlight w:val="none"/>
          <w:u w:val="single"/>
        </w:rPr>
        <w:t xml:space="preserve">        </w:t>
      </w:r>
      <w:r>
        <w:rPr>
          <w:rFonts w:ascii="宋体" w:hAnsi="宋体" w:eastAsia="宋体"/>
          <w:color w:val="auto"/>
          <w:highlight w:val="none"/>
        </w:rPr>
        <w:t xml:space="preserve">号项目采购活动的合法代理人，以本单位名义全权处理一切与该项目采购有关的事务。</w:t>
      </w:r>
      <w:r/>
    </w:p>
    <w:p>
      <w:pPr>
        <w:pStyle w:val="987"/>
        <w:ind w:firstLine="480"/>
        <w:jc w:val="both"/>
        <w:keepLines w:val="0"/>
        <w:keepNext w:val="0"/>
        <w:pageBreakBefore w:val="0"/>
        <w:spacing w:before="0" w:beforeAutospacing="0" w:after="0" w:afterAutospacing="0" w:line="760" w:lineRule="exact"/>
        <w:widowControl/>
        <w:tabs>
          <w:tab w:val="left" w:pos="360" w:leader="none"/>
        </w:tabs>
        <w:rPr>
          <w:rFonts w:ascii="宋体" w:hAnsi="宋体" w:eastAsia="宋体"/>
          <w:color w:val="auto"/>
          <w:highlight w:val="none"/>
        </w:rPr>
      </w:pPr>
      <w:r>
        <w:rPr>
          <w:rFonts w:ascii="宋体" w:hAnsi="宋体" w:eastAsia="宋体"/>
          <w:color w:val="auto"/>
          <w:highlight w:val="none"/>
        </w:rPr>
        <w:t xml:space="preserve">本授权书于______年____月____日起生效，特此声明。</w:t>
      </w:r>
      <w:r/>
    </w:p>
    <w:p>
      <w:pPr>
        <w:pStyle w:val="987"/>
        <w:ind w:firstLine="480"/>
        <w:jc w:val="both"/>
        <w:keepLines w:val="0"/>
        <w:keepNext w:val="0"/>
        <w:pageBreakBefore w:val="0"/>
        <w:spacing w:before="0" w:beforeAutospacing="0" w:after="0" w:afterAutospacing="0" w:line="760" w:lineRule="exact"/>
        <w:widowControl/>
        <w:tabs>
          <w:tab w:val="left" w:pos="360" w:leader="none"/>
        </w:tabs>
        <w:rPr>
          <w:rFonts w:ascii="宋体" w:hAnsi="宋体" w:eastAsia="宋体"/>
          <w:color w:val="auto"/>
          <w:highlight w:val="none"/>
        </w:rPr>
      </w:pPr>
      <w:r>
        <w:rPr>
          <w:rFonts w:ascii="宋体" w:hAnsi="宋体" w:eastAsia="宋体"/>
          <w:color w:val="auto"/>
          <w:highlight w:val="none"/>
        </w:rPr>
        <w:t xml:space="preserve">被授权人身份证号码：</w:t>
      </w:r>
      <w:r>
        <w:rPr>
          <w:rFonts w:ascii="宋体" w:hAnsi="宋体" w:eastAsia="宋体"/>
          <w:color w:val="auto"/>
          <w:highlight w:val="none"/>
          <w:u w:val="single"/>
        </w:rPr>
        <w:t xml:space="preserve">                    </w:t>
      </w:r>
      <w:r/>
    </w:p>
    <w:p>
      <w:pPr>
        <w:pStyle w:val="987"/>
        <w:ind w:firstLine="480"/>
        <w:jc w:val="both"/>
        <w:keepLines w:val="0"/>
        <w:keepNext w:val="0"/>
        <w:pageBreakBefore w:val="0"/>
        <w:spacing w:before="0" w:beforeAutospacing="0" w:after="0" w:afterAutospacing="0" w:line="760" w:lineRule="exact"/>
        <w:widowControl/>
        <w:tabs>
          <w:tab w:val="left" w:pos="360" w:leader="none"/>
        </w:tabs>
        <w:rPr>
          <w:rFonts w:ascii="宋体" w:hAnsi="宋体" w:eastAsia="宋体"/>
          <w:color w:val="auto"/>
          <w:highlight w:val="none"/>
        </w:rPr>
      </w:pPr>
      <w:r>
        <w:rPr>
          <w:rFonts w:ascii="宋体" w:hAnsi="宋体" w:eastAsia="宋体"/>
          <w:color w:val="auto"/>
          <w:highlight w:val="none"/>
        </w:rPr>
        <w:t xml:space="preserve">被授权人联系电话：（手机）</w:t>
      </w:r>
      <w:r>
        <w:rPr>
          <w:rFonts w:ascii="宋体" w:hAnsi="宋体" w:eastAsia="宋体"/>
          <w:color w:val="auto"/>
          <w:highlight w:val="none"/>
          <w:u w:val="single"/>
        </w:rPr>
        <w:t xml:space="preserve">                 </w:t>
      </w:r>
      <w:r/>
    </w:p>
    <w:p>
      <w:pPr>
        <w:pStyle w:val="987"/>
        <w:ind w:firstLine="480"/>
        <w:jc w:val="both"/>
        <w:keepLines w:val="0"/>
        <w:keepNext w:val="0"/>
        <w:pageBreakBefore w:val="0"/>
        <w:spacing w:before="0" w:beforeAutospacing="0" w:after="0" w:afterAutospacing="0" w:line="760" w:lineRule="exact"/>
        <w:widowControl/>
        <w:tabs>
          <w:tab w:val="left" w:pos="360" w:leader="none"/>
        </w:tabs>
        <w:rPr>
          <w:rFonts w:ascii="宋体" w:hAnsi="宋体" w:eastAsia="宋体"/>
          <w:color w:val="auto"/>
          <w:highlight w:val="none"/>
        </w:rPr>
      </w:pPr>
      <w:r>
        <w:rPr>
          <w:rFonts w:ascii="宋体" w:hAnsi="宋体" w:eastAsia="宋体"/>
          <w:color w:val="auto"/>
          <w:highlight w:val="none"/>
        </w:rPr>
        <w:t xml:space="preserve">授权单位名称：</w:t>
      </w:r>
      <w:r>
        <w:rPr>
          <w:rFonts w:ascii="宋体" w:hAnsi="宋体" w:eastAsia="宋体"/>
          <w:color w:val="auto"/>
          <w:highlight w:val="none"/>
          <w:u w:val="single"/>
        </w:rPr>
        <w:t xml:space="preserve">（加盖CA电子公章）</w:t>
      </w:r>
      <w:r/>
    </w:p>
    <w:p>
      <w:pPr>
        <w:pStyle w:val="987"/>
        <w:ind w:firstLine="480"/>
        <w:jc w:val="both"/>
        <w:keepLines w:val="0"/>
        <w:keepNext w:val="0"/>
        <w:pageBreakBefore w:val="0"/>
        <w:spacing w:before="0" w:beforeAutospacing="0" w:after="0" w:afterAutospacing="0" w:line="760" w:lineRule="exact"/>
        <w:widowControl/>
        <w:tabs>
          <w:tab w:val="left" w:pos="360" w:leader="none"/>
        </w:tabs>
        <w:rPr>
          <w:rFonts w:ascii="宋体" w:hAnsi="宋体" w:eastAsia="宋体"/>
          <w:color w:val="auto"/>
          <w:highlight w:val="none"/>
        </w:rPr>
      </w:pPr>
      <w:r>
        <w:rPr>
          <w:rFonts w:ascii="宋体" w:hAnsi="宋体" w:eastAsia="宋体"/>
          <w:color w:val="auto"/>
          <w:highlight w:val="none"/>
        </w:rPr>
        <w:t xml:space="preserve">单位地址：</w:t>
      </w:r>
      <w:r>
        <w:rPr>
          <w:rFonts w:ascii="宋体" w:hAnsi="宋体" w:eastAsia="宋体"/>
          <w:color w:val="auto"/>
          <w:highlight w:val="none"/>
          <w:u w:val="single"/>
        </w:rPr>
        <w:t xml:space="preserve">                       </w:t>
      </w:r>
      <w:r/>
    </w:p>
    <w:p>
      <w:pPr>
        <w:pStyle w:val="987"/>
        <w:ind w:firstLine="480"/>
        <w:jc w:val="both"/>
        <w:keepLines w:val="0"/>
        <w:keepNext w:val="0"/>
        <w:pageBreakBefore w:val="0"/>
        <w:spacing w:before="0" w:beforeAutospacing="0" w:after="0" w:afterAutospacing="0" w:line="760" w:lineRule="exact"/>
        <w:widowControl/>
        <w:tabs>
          <w:tab w:val="left" w:pos="360" w:leader="none"/>
        </w:tabs>
        <w:rPr>
          <w:rFonts w:ascii="宋体" w:hAnsi="宋体" w:eastAsia="宋体"/>
          <w:color w:val="auto"/>
          <w:highlight w:val="none"/>
        </w:rPr>
      </w:pPr>
      <w:r>
        <w:rPr>
          <w:rFonts w:ascii="宋体" w:hAnsi="宋体" w:eastAsia="宋体"/>
          <w:color w:val="auto"/>
          <w:highlight w:val="none"/>
        </w:rPr>
        <w:t xml:space="preserve">日期：</w:t>
      </w:r>
      <w:r>
        <w:rPr>
          <w:rFonts w:ascii="宋体" w:hAnsi="宋体" w:eastAsia="宋体"/>
          <w:color w:val="auto"/>
          <w:highlight w:val="none"/>
          <w:u w:val="single"/>
        </w:rPr>
        <w:t xml:space="preserve">                  </w:t>
      </w:r>
      <w:r/>
    </w:p>
    <w:p>
      <w:pPr>
        <w:pStyle w:val="987"/>
        <w:ind w:firstLine="480"/>
        <w:jc w:val="both"/>
        <w:spacing w:beforeAutospacing="0" w:afterAutospacing="0"/>
        <w:tabs>
          <w:tab w:val="left" w:pos="360" w:leader="none"/>
        </w:tabs>
        <w:rPr>
          <w:rFonts w:ascii="宋体" w:hAnsi="宋体" w:eastAsia="宋体"/>
          <w:color w:val="auto"/>
          <w:highlight w:val="none"/>
        </w:rPr>
      </w:pPr>
      <w:r>
        <w:rPr>
          <w:rFonts w:ascii="宋体" w:hAnsi="宋体" w:eastAsia="宋体"/>
          <w:color w:val="auto"/>
          <w:highlight w:val="none"/>
        </w:rPr>
        <w:t xml:space="preserve"> </w:t>
      </w:r>
      <w:r/>
    </w:p>
    <w:p>
      <w:pPr>
        <w:pStyle w:val="987"/>
        <w:ind w:firstLine="480"/>
        <w:jc w:val="both"/>
        <w:spacing w:beforeAutospacing="0" w:afterAutospacing="0"/>
        <w:tabs>
          <w:tab w:val="left" w:pos="360" w:leader="none"/>
        </w:tabs>
        <w:rPr>
          <w:rFonts w:ascii="宋体" w:hAnsi="宋体" w:eastAsia="宋体"/>
          <w:color w:val="auto"/>
          <w:highlight w:val="none"/>
        </w:rPr>
      </w:pPr>
      <w:r>
        <w:rPr>
          <w:rFonts w:ascii="宋体" w:hAnsi="宋体" w:eastAsia="宋体"/>
          <w:color w:val="auto"/>
          <w:highlight w:val="none"/>
        </w:rPr>
        <w:t xml:space="preserve"> </w:t>
      </w:r>
      <w:r/>
    </w:p>
    <w:p>
      <w:pPr>
        <w:pStyle w:val="987"/>
        <w:ind w:firstLine="420"/>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987"/>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987"/>
        <w:jc w:val="center"/>
        <w:keepLines w:val="0"/>
        <w:keepNext w:val="0"/>
        <w:pageBreakBefore w:val="0"/>
        <w:spacing w:before="0" w:beforeAutospacing="0" w:after="0" w:afterAutospacing="0" w:line="560" w:lineRule="exact"/>
        <w:widowControl/>
        <w:rPr>
          <w:rFonts w:hint="eastAsia" w:ascii="宋体" w:hAnsi="宋体" w:eastAsia="宋体" w:cs="黑体"/>
          <w:b/>
          <w:bCs/>
          <w:i w:val="0"/>
          <w:iCs/>
          <w:color w:val="auto"/>
          <w:sz w:val="32"/>
          <w:szCs w:val="32"/>
          <w:highlight w:val="none"/>
          <w:u w:val="none"/>
        </w:rPr>
      </w:pPr>
      <w:r>
        <w:rPr>
          <w:rFonts w:hint="eastAsia" w:ascii="宋体" w:hAnsi="宋体" w:eastAsia="宋体" w:cs="宋体"/>
          <w:b/>
          <w:color w:val="auto"/>
          <w:highlight w:val="none"/>
        </w:rPr>
        <w:br w:type="page" w:clear="all"/>
      </w:r>
      <w:r>
        <w:rPr>
          <w:rFonts w:hint="eastAsia" w:ascii="宋体" w:hAnsi="宋体" w:eastAsia="宋体" w:cs="黑体"/>
          <w:b/>
          <w:bCs/>
          <w:i w:val="0"/>
          <w:iCs/>
          <w:color w:val="auto"/>
          <w:sz w:val="32"/>
          <w:szCs w:val="32"/>
          <w:highlight w:val="none"/>
          <w:u w:val="none"/>
        </w:rPr>
        <w:t xml:space="preserve">八、磋商响应函</w:t>
      </w:r>
      <w:r/>
    </w:p>
    <w:p>
      <w:pPr>
        <w:pStyle w:val="987"/>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致：盐城市生态环境局</w:t>
      </w:r>
      <w:r/>
    </w:p>
    <w:p>
      <w:pPr>
        <w:pStyle w:val="987"/>
        <w:ind w:firstLine="480"/>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rPr>
        <w:t xml:space="preserve">JSZC-           </w:t>
      </w:r>
      <w:r>
        <w:rPr>
          <w:rFonts w:hint="eastAsia" w:ascii="宋体" w:hAnsi="宋体" w:eastAsia="宋体" w:cs="宋体"/>
          <w:color w:val="auto"/>
          <w:highlight w:val="none"/>
        </w:rPr>
        <w:t xml:space="preserve">号磋商文件，正式授权下述签字人______(姓名)代表我方______________（供应商的名称），全权处理本次项目磋商的有关事宜。</w:t>
      </w:r>
      <w:r/>
    </w:p>
    <w:p>
      <w:pPr>
        <w:pStyle w:val="987"/>
        <w:ind w:firstLine="480"/>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据此函，__________签字人兹宣布同意如下：</w:t>
      </w:r>
      <w:r/>
    </w:p>
    <w:p>
      <w:pPr>
        <w:pStyle w:val="987"/>
        <w:ind w:firstLine="480"/>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1.按磋商文件规定的各项要求，向买方提供所需货物、服务（包含与货物相关的服务及与服务相关的货物）。</w:t>
      </w:r>
      <w:r/>
    </w:p>
    <w:p>
      <w:pPr>
        <w:pStyle w:val="987"/>
        <w:ind w:firstLine="480"/>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987"/>
        <w:ind w:firstLine="480"/>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987"/>
        <w:ind w:firstLine="480"/>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987"/>
        <w:ind w:firstLine="480"/>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987"/>
        <w:ind w:firstLine="480"/>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987"/>
        <w:ind w:left="425" w:firstLine="480"/>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7.我方与本磋商有关的正式通讯地址为：</w:t>
      </w:r>
      <w:r/>
    </w:p>
    <w:p>
      <w:pPr>
        <w:pStyle w:val="987"/>
        <w:ind w:left="420" w:firstLine="480"/>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地          址：</w:t>
      </w:r>
      <w:r/>
    </w:p>
    <w:p>
      <w:pPr>
        <w:pStyle w:val="987"/>
        <w:ind w:left="420" w:firstLine="480"/>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邮          编：</w:t>
      </w:r>
      <w:r/>
    </w:p>
    <w:p>
      <w:pPr>
        <w:pStyle w:val="987"/>
        <w:ind w:left="420" w:firstLine="480"/>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电          话：</w:t>
      </w:r>
      <w:r/>
    </w:p>
    <w:p>
      <w:pPr>
        <w:pStyle w:val="987"/>
        <w:ind w:left="420" w:firstLine="480"/>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传          真：</w:t>
      </w:r>
      <w:r/>
    </w:p>
    <w:p>
      <w:pPr>
        <w:pStyle w:val="987"/>
        <w:ind w:left="420" w:firstLine="480"/>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供应商开户行：</w:t>
      </w:r>
      <w:r/>
    </w:p>
    <w:p>
      <w:pPr>
        <w:pStyle w:val="987"/>
        <w:ind w:left="420" w:firstLine="480"/>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账          号： </w:t>
      </w:r>
      <w:r/>
    </w:p>
    <w:p>
      <w:pPr>
        <w:pStyle w:val="987"/>
        <w:ind w:left="420" w:firstLine="480"/>
        <w:keepLines w:val="0"/>
        <w:keepNext w:val="0"/>
        <w:pageBreakBefore w:val="0"/>
        <w:spacing w:before="0" w:beforeAutospacing="0" w:after="0" w:afterAutospacing="0" w:line="560" w:lineRule="exact"/>
        <w:widowControl/>
        <w:rPr>
          <w:rFonts w:ascii="宋体" w:hAnsi="宋体" w:eastAsia="宋体"/>
          <w:color w:val="auto"/>
          <w:highlight w:val="none"/>
        </w:rPr>
      </w:pPr>
      <w:r>
        <w:rPr>
          <w:rFonts w:hint="eastAsia" w:ascii="宋体" w:hAnsi="宋体" w:eastAsia="宋体" w:cs="宋体"/>
          <w:color w:val="auto"/>
          <w:highlight w:val="none"/>
        </w:rPr>
        <w:t xml:space="preserve">日           期：________年____月____日</w:t>
      </w:r>
      <w:r/>
    </w:p>
    <w:p>
      <w:pPr>
        <w:pStyle w:val="987"/>
        <w:ind w:firstLine="240"/>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987"/>
        <w:ind w:firstLine="240"/>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987"/>
        <w:ind w:firstLine="240"/>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987"/>
        <w:jc w:val="center"/>
        <w:spacing w:beforeAutospacing="0" w:afterAutospacing="0"/>
        <w:rPr>
          <w:rFonts w:hint="eastAsia" w:ascii="宋体" w:hAnsi="宋体" w:eastAsia="宋体" w:cs="黑体"/>
          <w:b/>
          <w:bCs/>
          <w:i w:val="0"/>
          <w:iCs/>
          <w:color w:val="auto"/>
          <w:sz w:val="32"/>
          <w:szCs w:val="32"/>
          <w:highlight w:val="none"/>
          <w:u w:val="none"/>
        </w:rPr>
      </w:pPr>
      <w:r>
        <w:rPr>
          <w:rFonts w:hint="eastAsia" w:ascii="宋体" w:hAnsi="宋体" w:eastAsia="宋体" w:cs="黑体"/>
          <w:b/>
          <w:bCs/>
          <w:i w:val="0"/>
          <w:iCs/>
          <w:color w:val="auto"/>
          <w:sz w:val="32"/>
          <w:szCs w:val="32"/>
          <w:highlight w:val="none"/>
          <w:u w:val="none"/>
        </w:rPr>
        <w:t xml:space="preserve">九、中小企业声明函（服务）</w:t>
      </w:r>
      <w:r/>
    </w:p>
    <w:p>
      <w:pPr>
        <w:ind w:firstLine="480"/>
        <w:keepLines w:val="0"/>
        <w:keepNext w:val="0"/>
        <w:pageBreakBefore w:val="0"/>
        <w:spacing w:line="560" w:lineRule="exact"/>
        <w:rPr>
          <w:rFonts w:ascii="宋体" w:hAnsi="宋体" w:eastAsia="宋体"/>
          <w:color w:val="auto"/>
          <w:sz w:val="24"/>
          <w:highlight w:val="none"/>
        </w:rPr>
      </w:pPr>
      <w:r>
        <w:rPr>
          <w:rFonts w:hint="eastAsia" w:ascii="宋体" w:hAnsi="宋体" w:eastAsia="宋体"/>
          <w:color w:val="auto"/>
          <w:sz w:val="24"/>
          <w:highlight w:val="none"/>
        </w:rPr>
        <w:t xml:space="preserve">本公司（联合体）郑重声明，根据《政府采购促进中小企业发展管理办法》（财库﹝2020﹞46 号）的规定，本公司（联合体）参加盐城市生态环境局组织的</w:t>
      </w:r>
      <w:r>
        <w:rPr>
          <w:rFonts w:hint="eastAsia" w:ascii="宋体" w:hAnsi="宋体" w:eastAsia="宋体"/>
          <w:i/>
          <w:iCs/>
          <w:color w:val="auto"/>
          <w:sz w:val="24"/>
          <w:highlight w:val="none"/>
          <w:u w:val="single"/>
        </w:rPr>
        <w:t xml:space="preserve">（单位名称）</w:t>
      </w:r>
      <w:r>
        <w:rPr>
          <w:rFonts w:hint="eastAsia" w:ascii="宋体" w:hAnsi="宋体" w:eastAsia="宋体"/>
          <w:color w:val="auto"/>
          <w:sz w:val="24"/>
          <w:szCs w:val="20"/>
          <w:highlight w:val="none"/>
        </w:rPr>
        <w:t xml:space="preserve">，</w:t>
      </w:r>
      <w:r>
        <w:rPr>
          <w:rFonts w:hint="eastAsia" w:ascii="宋体" w:hAnsi="宋体" w:eastAsia="宋体"/>
          <w:color w:val="auto"/>
          <w:sz w:val="24"/>
          <w:highlight w:val="none"/>
        </w:rPr>
        <w:t xml:space="preserve">采购编号为</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的</w:t>
      </w:r>
      <w:r>
        <w:rPr>
          <w:rFonts w:hint="eastAsia" w:ascii="宋体" w:hAnsi="宋体" w:eastAsia="宋体"/>
          <w:i/>
          <w:iCs/>
          <w:color w:val="auto"/>
          <w:sz w:val="24"/>
          <w:highlight w:val="none"/>
          <w:u w:val="single"/>
        </w:rPr>
        <w:t xml:space="preserve">（项目名称）</w:t>
      </w:r>
      <w:r>
        <w:rPr>
          <w:rFonts w:hint="eastAsia" w:ascii="宋体" w:hAnsi="宋体" w:eastAsia="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keepLines w:val="0"/>
        <w:keepNext w:val="0"/>
        <w:pageBreakBefore w:val="0"/>
        <w:spacing w:line="560" w:lineRule="exact"/>
        <w:rPr>
          <w:rFonts w:ascii="宋体" w:hAnsi="宋体" w:eastAsia="宋体"/>
          <w:color w:val="auto"/>
          <w:sz w:val="24"/>
          <w:highlight w:val="none"/>
        </w:rPr>
      </w:pPr>
      <w:r>
        <w:rPr>
          <w:rFonts w:hint="eastAsia" w:ascii="宋体" w:hAnsi="宋体" w:eastAsia="宋体"/>
          <w:i/>
          <w:iCs/>
          <w:color w:val="auto"/>
          <w:sz w:val="24"/>
          <w:highlight w:val="none"/>
          <w:u w:val="single"/>
        </w:rPr>
        <w:t xml:space="preserve">（标的名称）</w:t>
      </w:r>
      <w:r>
        <w:rPr>
          <w:rFonts w:hint="eastAsia" w:ascii="宋体" w:hAnsi="宋体" w:eastAsia="宋体"/>
          <w:color w:val="auto"/>
          <w:sz w:val="24"/>
          <w:highlight w:val="none"/>
        </w:rPr>
        <w:t xml:space="preserve"> ，属于</w:t>
      </w:r>
      <w:r>
        <w:rPr>
          <w:rFonts w:hint="eastAsia" w:ascii="宋体" w:hAnsi="宋体" w:eastAsia="宋体"/>
          <w:i/>
          <w:iCs/>
          <w:color w:val="auto"/>
          <w:sz w:val="24"/>
          <w:highlight w:val="none"/>
          <w:u w:val="single"/>
        </w:rPr>
        <w:t xml:space="preserve">（磋商文件中明确的所属行业）</w:t>
      </w:r>
      <w:r>
        <w:rPr>
          <w:rFonts w:hint="eastAsia" w:ascii="宋体" w:hAnsi="宋体" w:eastAsia="宋体"/>
          <w:color w:val="auto"/>
          <w:sz w:val="24"/>
          <w:highlight w:val="none"/>
        </w:rPr>
        <w:t xml:space="preserve">；承建（承接）企业为</w:t>
      </w:r>
      <w:r>
        <w:rPr>
          <w:rFonts w:hint="eastAsia" w:ascii="宋体" w:hAnsi="宋体" w:eastAsia="宋体"/>
          <w:i/>
          <w:iCs/>
          <w:color w:val="auto"/>
          <w:sz w:val="24"/>
          <w:highlight w:val="none"/>
          <w:u w:val="single"/>
        </w:rPr>
        <w:t xml:space="preserve">（企业名称）</w:t>
      </w:r>
      <w:r>
        <w:rPr>
          <w:rFonts w:hint="eastAsia" w:ascii="宋体" w:hAnsi="宋体" w:eastAsia="宋体"/>
          <w:color w:val="auto"/>
          <w:sz w:val="24"/>
          <w:highlight w:val="none"/>
        </w:rPr>
        <w:t xml:space="preserve">，从业人员</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人，营业收入为</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万元，资产总额为</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万元，属于（</w:t>
      </w:r>
      <w:r>
        <w:rPr>
          <w:rFonts w:hint="eastAsia" w:ascii="宋体" w:hAnsi="宋体" w:eastAsia="宋体"/>
          <w:i/>
          <w:iCs/>
          <w:color w:val="auto"/>
          <w:sz w:val="24"/>
          <w:highlight w:val="none"/>
          <w:u w:val="single"/>
        </w:rPr>
        <w:t xml:space="preserve">中型企业、小型企业、微型企业</w:t>
      </w:r>
      <w:r>
        <w:rPr>
          <w:rFonts w:hint="eastAsia" w:ascii="宋体" w:hAnsi="宋体" w:eastAsia="宋体"/>
          <w:color w:val="auto"/>
          <w:sz w:val="24"/>
          <w:highlight w:val="none"/>
        </w:rPr>
        <w:t xml:space="preserve">）；</w:t>
      </w:r>
      <w:r/>
    </w:p>
    <w:p>
      <w:pPr>
        <w:numPr>
          <w:ilvl w:val="0"/>
          <w:numId w:val="3"/>
        </w:numPr>
        <w:ind w:firstLine="480"/>
        <w:keepLines w:val="0"/>
        <w:keepNext w:val="0"/>
        <w:pageBreakBefore w:val="0"/>
        <w:spacing w:line="560" w:lineRule="exact"/>
        <w:rPr>
          <w:rFonts w:ascii="宋体" w:hAnsi="宋体" w:eastAsia="宋体"/>
          <w:color w:val="auto"/>
          <w:sz w:val="24"/>
          <w:highlight w:val="none"/>
        </w:rPr>
      </w:pPr>
      <w:r>
        <w:rPr>
          <w:rFonts w:hint="eastAsia" w:ascii="宋体" w:hAnsi="宋体" w:eastAsia="宋体"/>
          <w:i/>
          <w:iCs/>
          <w:color w:val="auto"/>
          <w:sz w:val="24"/>
          <w:highlight w:val="none"/>
          <w:u w:val="single"/>
        </w:rPr>
        <w:t xml:space="preserve">（标的名称）</w:t>
      </w:r>
      <w:r>
        <w:rPr>
          <w:rFonts w:hint="eastAsia" w:ascii="宋体" w:hAnsi="宋体" w:eastAsia="宋体"/>
          <w:color w:val="auto"/>
          <w:sz w:val="24"/>
          <w:highlight w:val="none"/>
        </w:rPr>
        <w:t xml:space="preserve"> ，属于</w:t>
      </w:r>
      <w:r>
        <w:rPr>
          <w:rFonts w:hint="eastAsia" w:ascii="宋体" w:hAnsi="宋体" w:eastAsia="宋体"/>
          <w:i/>
          <w:iCs/>
          <w:color w:val="auto"/>
          <w:sz w:val="24"/>
          <w:highlight w:val="none"/>
          <w:u w:val="single"/>
        </w:rPr>
        <w:t xml:space="preserve">（磋商文件中明确的所属行业）</w:t>
      </w:r>
      <w:r>
        <w:rPr>
          <w:rFonts w:hint="eastAsia" w:ascii="宋体" w:hAnsi="宋体" w:eastAsia="宋体"/>
          <w:color w:val="auto"/>
          <w:sz w:val="24"/>
          <w:highlight w:val="none"/>
        </w:rPr>
        <w:t xml:space="preserve">；承建（承接）企业为</w:t>
      </w:r>
      <w:r>
        <w:rPr>
          <w:rFonts w:hint="eastAsia" w:ascii="宋体" w:hAnsi="宋体" w:eastAsia="宋体"/>
          <w:i/>
          <w:iCs/>
          <w:color w:val="auto"/>
          <w:sz w:val="24"/>
          <w:highlight w:val="none"/>
          <w:u w:val="single"/>
        </w:rPr>
        <w:t xml:space="preserve">（企业名称）</w:t>
      </w:r>
      <w:r>
        <w:rPr>
          <w:rFonts w:hint="eastAsia" w:ascii="宋体" w:hAnsi="宋体" w:eastAsia="宋体"/>
          <w:color w:val="auto"/>
          <w:sz w:val="24"/>
          <w:highlight w:val="none"/>
        </w:rPr>
        <w:t xml:space="preserve">，从业人员</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人，营业收入为</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万元，资产总额为</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万元，属于</w:t>
      </w:r>
      <w:r>
        <w:rPr>
          <w:rFonts w:hint="eastAsia" w:ascii="宋体" w:hAnsi="宋体" w:eastAsia="宋体"/>
          <w:i/>
          <w:iCs/>
          <w:color w:val="auto"/>
          <w:sz w:val="24"/>
          <w:highlight w:val="none"/>
          <w:u w:val="single"/>
        </w:rPr>
        <w:t xml:space="preserve">（中型企业、小型企业、微型企业）</w:t>
      </w:r>
      <w:r>
        <w:rPr>
          <w:rFonts w:hint="eastAsia" w:ascii="宋体" w:hAnsi="宋体" w:eastAsia="宋体"/>
          <w:color w:val="auto"/>
          <w:sz w:val="24"/>
          <w:highlight w:val="none"/>
        </w:rPr>
        <w:t xml:space="preserve">；</w:t>
      </w:r>
      <w:r/>
    </w:p>
    <w:p>
      <w:pPr>
        <w:ind w:firstLine="480"/>
        <w:keepLines w:val="0"/>
        <w:keepNext w:val="0"/>
        <w:pageBreakBefore w:val="0"/>
        <w:spacing w:line="560" w:lineRule="exact"/>
        <w:rPr>
          <w:rFonts w:ascii="宋体" w:hAnsi="宋体" w:eastAsia="宋体"/>
          <w:color w:val="auto"/>
          <w:sz w:val="24"/>
          <w:highlight w:val="none"/>
        </w:rPr>
      </w:pPr>
      <w:r>
        <w:rPr>
          <w:rFonts w:hint="eastAsia" w:ascii="宋体" w:hAnsi="宋体" w:eastAsia="宋体"/>
          <w:color w:val="auto"/>
          <w:sz w:val="24"/>
          <w:highlight w:val="none"/>
        </w:rPr>
        <w:t xml:space="preserve">……</w:t>
      </w:r>
      <w:r/>
    </w:p>
    <w:p>
      <w:pPr>
        <w:ind w:firstLine="480"/>
        <w:keepLines w:val="0"/>
        <w:keepNext w:val="0"/>
        <w:pageBreakBefore w:val="0"/>
        <w:spacing w:line="560" w:lineRule="exact"/>
        <w:rPr>
          <w:rFonts w:ascii="宋体" w:hAnsi="宋体" w:eastAsia="宋体"/>
          <w:color w:val="auto"/>
          <w:sz w:val="24"/>
          <w:highlight w:val="none"/>
        </w:rPr>
      </w:pPr>
      <w:r>
        <w:rPr>
          <w:rFonts w:hint="eastAsia" w:ascii="宋体" w:hAnsi="宋体" w:eastAsia="宋体"/>
          <w:color w:val="auto"/>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60" w:lineRule="exact"/>
        <w:rPr>
          <w:rFonts w:ascii="宋体" w:hAnsi="宋体" w:eastAsia="宋体"/>
          <w:color w:val="auto"/>
          <w:sz w:val="24"/>
          <w:highlight w:val="none"/>
        </w:rPr>
      </w:pPr>
      <w:r>
        <w:rPr>
          <w:rFonts w:hint="eastAsia" w:ascii="宋体" w:hAnsi="宋体" w:eastAsia="宋体"/>
          <w:color w:val="auto"/>
          <w:sz w:val="24"/>
          <w:highlight w:val="none"/>
        </w:rPr>
        <w:t xml:space="preserve">本企业对上述声明内容的真实性负责。如有虚假，将依法承担相应责任。</w:t>
      </w:r>
      <w:r/>
    </w:p>
    <w:p>
      <w:pPr>
        <w:pStyle w:val="987"/>
        <w:ind w:right="720" w:firstLine="480"/>
        <w:jc w:val="both"/>
        <w:keepLines w:val="0"/>
        <w:keepNext w:val="0"/>
        <w:pageBreakBefore w:val="0"/>
        <w:spacing w:before="0" w:beforeAutospacing="0" w:after="0" w:afterAutospacing="0" w:line="560" w:lineRule="exact"/>
        <w:rPr>
          <w:rFonts w:ascii="宋体" w:hAnsi="宋体" w:eastAsia="宋体"/>
          <w:color w:val="auto"/>
          <w:highlight w:val="none"/>
        </w:rPr>
      </w:pPr>
      <w:r>
        <w:rPr>
          <w:rFonts w:ascii="宋体" w:hAnsi="宋体" w:eastAsia="宋体"/>
          <w:color w:val="auto"/>
          <w:highlight w:val="none"/>
        </w:rPr>
        <w:t xml:space="preserve"> </w:t>
      </w:r>
      <w:r/>
    </w:p>
    <w:p>
      <w:pPr>
        <w:pStyle w:val="987"/>
        <w:ind w:right="180" w:firstLine="480"/>
        <w:jc w:val="right"/>
        <w:keepLines w:val="0"/>
        <w:keepNext w:val="0"/>
        <w:pageBreakBefore w:val="0"/>
        <w:spacing w:before="0" w:beforeAutospacing="0" w:after="0" w:afterAutospacing="0" w:line="560" w:lineRule="exact"/>
        <w:rPr>
          <w:rFonts w:ascii="宋体" w:hAnsi="宋体" w:eastAsia="宋体"/>
          <w:color w:val="auto"/>
          <w:highlight w:val="none"/>
        </w:rPr>
      </w:pPr>
      <w:r>
        <w:rPr>
          <w:rFonts w:hint="eastAsia" w:ascii="宋体" w:hAnsi="宋体" w:eastAsia="宋体" w:cs="宋体"/>
          <w:color w:val="auto"/>
          <w:highlight w:val="none"/>
        </w:rPr>
        <w:t xml:space="preserve">企业名称（加盖CA电子公章）：</w:t>
      </w:r>
      <w:r/>
    </w:p>
    <w:p>
      <w:pPr>
        <w:pStyle w:val="987"/>
        <w:ind w:right="480" w:firstLine="6240"/>
        <w:jc w:val="both"/>
        <w:keepLines w:val="0"/>
        <w:keepNext w:val="0"/>
        <w:pageBreakBefore w:val="0"/>
        <w:spacing w:before="0" w:beforeAutospacing="0" w:after="0" w:afterAutospacing="0" w:line="560" w:lineRule="exact"/>
        <w:rPr>
          <w:rFonts w:ascii="宋体" w:hAnsi="宋体" w:eastAsia="宋体"/>
          <w:color w:val="auto"/>
          <w:highlight w:val="none"/>
        </w:rPr>
      </w:pPr>
      <w:r>
        <w:rPr>
          <w:rFonts w:hint="eastAsia" w:ascii="宋体" w:hAnsi="宋体" w:eastAsia="宋体" w:cs="宋体"/>
          <w:color w:val="auto"/>
          <w:highlight w:val="none"/>
        </w:rPr>
        <w:t xml:space="preserve">日  期：</w:t>
      </w:r>
      <w:r/>
    </w:p>
    <w:p>
      <w:pPr>
        <w:pStyle w:val="987"/>
        <w:ind w:firstLine="480"/>
        <w:jc w:val="both"/>
        <w:keepLines w:val="0"/>
        <w:keepNext w:val="0"/>
        <w:pageBreakBefore w:val="0"/>
        <w:spacing w:before="0" w:beforeAutospacing="0" w:after="0" w:afterAutospacing="0" w:line="560" w:lineRule="exact"/>
        <w:rPr>
          <w:rFonts w:ascii="宋体" w:hAnsi="宋体" w:eastAsia="宋体"/>
          <w:color w:val="auto"/>
          <w:highlight w:val="none"/>
        </w:rPr>
      </w:pPr>
      <w:r>
        <w:rPr>
          <w:rFonts w:ascii="宋体" w:hAnsi="宋体" w:eastAsia="宋体"/>
          <w:color w:val="auto"/>
          <w:highlight w:val="none"/>
        </w:rPr>
        <w:t xml:space="preserve"> </w:t>
      </w:r>
      <w:r/>
    </w:p>
    <w:p>
      <w:pPr>
        <w:pStyle w:val="987"/>
        <w:ind w:firstLine="480"/>
        <w:jc w:val="both"/>
        <w:keepLines w:val="0"/>
        <w:keepNext w:val="0"/>
        <w:pageBreakBefore w:val="0"/>
        <w:spacing w:before="0" w:beforeAutospacing="0" w:after="0" w:afterAutospacing="0" w:line="560" w:lineRule="exact"/>
        <w:rPr>
          <w:rFonts w:ascii="宋体" w:hAnsi="宋体" w:eastAsia="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987"/>
        <w:ind w:firstLine="480"/>
        <w:jc w:val="both"/>
        <w:keepLines w:val="0"/>
        <w:keepNext w:val="0"/>
        <w:pageBreakBefore w:val="0"/>
        <w:spacing w:before="0" w:beforeAutospacing="0" w:after="0" w:afterAutospacing="0" w:line="560" w:lineRule="exact"/>
        <w:rPr>
          <w:rFonts w:ascii="宋体" w:hAnsi="宋体" w:eastAsia="宋体"/>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987"/>
        <w:jc w:val="center"/>
        <w:spacing w:beforeAutospacing="0" w:afterAutospacing="0" w:line="0" w:lineRule="atLeast"/>
        <w:rPr>
          <w:rFonts w:ascii="宋体" w:hAnsi="宋体" w:eastAsia="宋体"/>
          <w:color w:val="auto"/>
          <w:highlight w:val="none"/>
        </w:rPr>
      </w:pPr>
      <w:r>
        <w:rPr>
          <w:rFonts w:hint="eastAsia" w:ascii="宋体" w:hAnsi="宋体" w:eastAsia="宋体" w:cs="黑体"/>
          <w:b/>
          <w:color w:val="auto"/>
          <w:sz w:val="32"/>
          <w:szCs w:val="32"/>
          <w:highlight w:val="none"/>
        </w:rPr>
        <w:br w:type="page" w:clear="all"/>
      </w:r>
      <w:r>
        <w:rPr>
          <w:rFonts w:hint="eastAsia" w:ascii="宋体" w:hAnsi="宋体" w:eastAsia="宋体" w:cs="黑体"/>
          <w:b/>
          <w:color w:val="auto"/>
          <w:sz w:val="32"/>
          <w:szCs w:val="32"/>
          <w:highlight w:val="none"/>
        </w:rPr>
        <w:t xml:space="preserve">十、残疾人福利性单位声明函</w:t>
      </w:r>
      <w:r/>
    </w:p>
    <w:p>
      <w:pPr>
        <w:pStyle w:val="987"/>
        <w:ind w:firstLine="480"/>
        <w:jc w:val="both"/>
        <w:keepLines w:val="0"/>
        <w:keepNext w:val="0"/>
        <w:pageBreakBefore w:val="0"/>
        <w:spacing w:before="0" w:beforeAutospacing="0" w:after="0" w:afterAutospacing="0" w:line="560" w:lineRule="atLeast"/>
        <w:widowControl/>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项目（分包号：**）采购活动提供本单位制造的货物，或者提供其他残疾人福利性单位制造的货物（不包括使用非残疾人福利性单位注册商标的货物）。</w:t>
      </w:r>
      <w:r/>
    </w:p>
    <w:p>
      <w:pPr>
        <w:pStyle w:val="987"/>
        <w:ind w:firstLine="480"/>
        <w:jc w:val="both"/>
        <w:keepLines w:val="0"/>
        <w:keepNext w:val="0"/>
        <w:pageBreakBefore w:val="0"/>
        <w:spacing w:before="0" w:beforeAutospacing="0" w:after="0" w:afterAutospacing="0" w:line="560" w:lineRule="atLeast"/>
        <w:widowControl/>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987"/>
        <w:ind w:firstLine="480"/>
        <w:jc w:val="both"/>
        <w:keepLines w:val="0"/>
        <w:keepNext w:val="0"/>
        <w:pageBreakBefore w:val="0"/>
        <w:spacing w:before="0" w:beforeAutospacing="0" w:after="0" w:afterAutospacing="0" w:line="560" w:lineRule="atLeast"/>
        <w:widowControl/>
        <w:rPr>
          <w:rFonts w:ascii="宋体" w:hAnsi="宋体" w:eastAsia="宋体"/>
          <w:color w:val="auto"/>
          <w:sz w:val="24"/>
          <w:szCs w:val="24"/>
          <w:highlight w:val="none"/>
        </w:rPr>
      </w:pPr>
      <w:r>
        <w:rPr>
          <w:rFonts w:ascii="宋体" w:hAnsi="宋体" w:eastAsia="宋体"/>
          <w:color w:val="auto"/>
          <w:sz w:val="24"/>
          <w:szCs w:val="24"/>
          <w:highlight w:val="none"/>
        </w:rPr>
        <w:t xml:space="preserve"> </w:t>
      </w:r>
      <w:r/>
    </w:p>
    <w:p>
      <w:pPr>
        <w:pStyle w:val="987"/>
        <w:ind w:firstLine="480"/>
        <w:jc w:val="both"/>
        <w:keepLines w:val="0"/>
        <w:keepNext w:val="0"/>
        <w:pageBreakBefore w:val="0"/>
        <w:spacing w:before="0" w:beforeAutospacing="0" w:after="0" w:afterAutospacing="0" w:line="560" w:lineRule="atLeast"/>
        <w:widowControl/>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987"/>
        <w:ind w:firstLine="480"/>
        <w:jc w:val="both"/>
        <w:keepLines w:val="0"/>
        <w:keepNext w:val="0"/>
        <w:pageBreakBefore w:val="0"/>
        <w:spacing w:before="0" w:beforeAutospacing="0" w:after="0" w:afterAutospacing="0" w:line="560" w:lineRule="atLeast"/>
        <w:widowControl/>
        <w:rPr>
          <w:rFonts w:ascii="宋体" w:hAnsi="宋体" w:eastAsia="宋体"/>
          <w:color w:val="auto"/>
          <w:sz w:val="24"/>
          <w:szCs w:val="24"/>
          <w:highlight w:val="none"/>
        </w:rPr>
      </w:pPr>
      <w:r>
        <w:rPr>
          <w:rFonts w:ascii="宋体" w:hAnsi="宋体" w:eastAsia="宋体"/>
          <w:color w:val="auto"/>
          <w:sz w:val="24"/>
          <w:szCs w:val="24"/>
          <w:highlight w:val="none"/>
        </w:rPr>
        <w:t xml:space="preserve"> </w:t>
      </w:r>
      <w:r/>
    </w:p>
    <w:p>
      <w:pPr>
        <w:pStyle w:val="987"/>
        <w:ind w:right="1560" w:firstLine="480"/>
        <w:jc w:val="center"/>
        <w:keepLines w:val="0"/>
        <w:keepNext w:val="0"/>
        <w:pageBreakBefore w:val="0"/>
        <w:spacing w:before="0" w:beforeAutospacing="0" w:after="0" w:afterAutospacing="0" w:line="560" w:lineRule="atLeast"/>
        <w:widowControl/>
        <w:tabs>
          <w:tab w:val="left" w:pos="4864" w:leader="none"/>
        </w:tabs>
        <w:rPr>
          <w:rFonts w:ascii="宋体" w:hAnsi="宋体" w:eastAsia="宋体"/>
          <w:color w:val="auto"/>
          <w:sz w:val="24"/>
          <w:szCs w:val="24"/>
          <w:highlight w:val="none"/>
        </w:rPr>
      </w:pPr>
      <w:r>
        <w:rPr>
          <w:rFonts w:ascii="宋体" w:hAnsi="宋体" w:eastAsia="宋体" w:cs="仿宋_GB2312"/>
          <w:color w:val="auto"/>
          <w:sz w:val="24"/>
          <w:szCs w:val="24"/>
          <w:highlight w:val="none"/>
        </w:rPr>
        <w:t xml:space="preserve">             </w:t>
      </w:r>
      <w:r>
        <w:rPr>
          <w:rFonts w:hint="eastAsia" w:ascii="宋体" w:hAnsi="宋体" w:eastAsia="宋体" w:cs="宋体"/>
          <w:color w:val="auto"/>
          <w:sz w:val="24"/>
          <w:szCs w:val="24"/>
          <w:highlight w:val="none"/>
        </w:rPr>
        <w:t xml:space="preserve">      供应商全称（加盖CA电子公章）：</w:t>
      </w:r>
      <w:r/>
    </w:p>
    <w:p>
      <w:pPr>
        <w:pStyle w:val="987"/>
        <w:ind w:right="1560" w:firstLine="480"/>
        <w:jc w:val="center"/>
        <w:keepLines w:val="0"/>
        <w:keepNext w:val="0"/>
        <w:pageBreakBefore w:val="0"/>
        <w:spacing w:before="0" w:beforeAutospacing="0" w:after="0" w:afterAutospacing="0" w:line="560" w:lineRule="atLeast"/>
        <w:widowControl/>
        <w:tabs>
          <w:tab w:val="left" w:pos="4864"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pStyle w:val="987"/>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987"/>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987"/>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987"/>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987"/>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987"/>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987"/>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987"/>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987"/>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t xml:space="preserve"> </w:t>
      </w:r>
      <w:r/>
    </w:p>
    <w:p>
      <w:pPr>
        <w:pStyle w:val="987"/>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987"/>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987"/>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987"/>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987"/>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987"/>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pStyle w:val="987"/>
        <w:jc w:val="center"/>
        <w:spacing w:beforeAutospacing="0" w:afterAutospacing="0" w:line="0" w:lineRule="atLeast"/>
        <w:rPr>
          <w:rFonts w:ascii="宋体" w:hAnsi="宋体" w:eastAsia="宋体"/>
          <w:color w:val="auto"/>
          <w:highlight w:val="none"/>
        </w:rPr>
      </w:pPr>
      <w:r>
        <w:rPr>
          <w:rFonts w:ascii="宋体" w:hAnsi="宋体" w:eastAsia="宋体"/>
          <w:color w:val="auto"/>
          <w:highlight w:val="none"/>
        </w:rPr>
      </w:r>
      <w:r/>
    </w:p>
    <w:p>
      <w:pPr>
        <w:jc w:val="center"/>
        <w:spacing w:line="500" w:lineRule="exact"/>
        <w:rPr>
          <w:rFonts w:hint="eastAsia" w:ascii="宋体" w:hAnsi="宋体" w:eastAsia="宋体" w:cs="黑体"/>
          <w:b/>
          <w:color w:val="auto"/>
          <w:sz w:val="32"/>
          <w:szCs w:val="32"/>
          <w:highlight w:val="none"/>
        </w:rPr>
      </w:pPr>
      <w:r>
        <w:rPr>
          <w:rFonts w:hint="eastAsia" w:ascii="宋体" w:hAnsi="宋体" w:eastAsia="宋体" w:cs="黑体"/>
          <w:b/>
          <w:color w:val="auto"/>
          <w:sz w:val="32"/>
          <w:szCs w:val="32"/>
          <w:highlight w:val="none"/>
          <w:lang w:val="en-US" w:eastAsia="zh-CN" w:bidi="ar-SA"/>
        </w:rPr>
        <w:t xml:space="preserve">十一、磋商报价表</w:t>
      </w:r>
      <w:r/>
    </w:p>
    <w:p>
      <w:pPr>
        <w:spacing w:before="240" w:after="240"/>
        <w:rPr>
          <w:color w:val="auto"/>
          <w:highlight w:val="none"/>
        </w:rPr>
      </w:pPr>
      <w:r>
        <w:rPr>
          <w:rFonts w:ascii="宋体" w:hAnsi="宋体" w:cs="宋体"/>
          <w:color w:val="auto"/>
          <w:sz w:val="24"/>
          <w:highlight w:val="none"/>
        </w:rPr>
        <w:t xml:space="preserve">货币单位：人民币元</w:t>
      </w:r>
      <w:r/>
    </w:p>
    <w:p>
      <w:pPr>
        <w:pStyle w:val="1035"/>
        <w:jc w:val="left"/>
        <w:spacing w:line="520" w:lineRule="exact"/>
        <w:rPr>
          <w:rFonts w:ascii="宋体" w:hAnsi="宋体" w:eastAsia="宋体"/>
          <w:color w:val="auto"/>
          <w:sz w:val="24"/>
          <w:highlight w:val="none"/>
        </w:rPr>
      </w:pPr>
      <w:r>
        <w:rPr>
          <w:rFonts w:hint="eastAsia" w:ascii="宋体" w:hAnsi="宋体" w:eastAsia="宋体" w:cs="宋体"/>
          <w:color w:val="auto"/>
          <w:sz w:val="24"/>
          <w:highlight w:val="none"/>
        </w:rPr>
        <w:t xml:space="preserve">项目编号：</w:t>
      </w:r>
      <w:r>
        <w:rPr>
          <w:rFonts w:ascii="Arial" w:hAnsi="Arial" w:eastAsia="Arial" w:cs="Arial"/>
          <w:color w:val="000000"/>
          <w:sz w:val="24"/>
        </w:rPr>
        <w:t xml:space="preserve">项目编号</w:t>
      </w:r>
      <w:r>
        <w:rPr>
          <w:rFonts w:hint="eastAsia" w:ascii="宋体" w:hAnsi="宋体" w:eastAsia="宋体" w:cs="宋体"/>
          <w:color w:val="auto"/>
          <w:sz w:val="24"/>
          <w:highlight w:val="none"/>
        </w:rPr>
      </w:r>
      <w:r/>
    </w:p>
    <w:p>
      <w:pPr>
        <w:pStyle w:val="1035"/>
        <w:jc w:val="center"/>
        <w:spacing w:line="520" w:lineRule="exact"/>
        <w:rPr>
          <w:rFonts w:ascii="宋体" w:hAnsi="宋体"/>
          <w:color w:val="auto"/>
          <w:sz w:val="24"/>
          <w:highlight w:val="none"/>
        </w:rPr>
      </w:pPr>
      <w:r>
        <w:rPr>
          <w:rFonts w:hint="eastAsia" w:ascii="宋体" w:hAnsi="宋体" w:eastAsia="宋体"/>
          <w:color w:val="auto"/>
          <w:sz w:val="24"/>
          <w:highlight w:val="none"/>
        </w:rPr>
        <w:t xml:space="preserve">                                                 </w:t>
      </w:r>
      <w:r/>
    </w:p>
    <w:tbl>
      <w:tblPr>
        <w:tblStyle w:val="780"/>
        <w:tblW w:w="959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71"/>
        <w:gridCol w:w="3528"/>
        <w:gridCol w:w="3200"/>
      </w:tblGrid>
      <w:tr>
        <w:trPr>
          <w:trHeight w:val="715"/>
        </w:trPr>
        <w:tc>
          <w:tcPr>
            <w:tcW w:w="2871" w:type="dxa"/>
            <w:vAlign w:val="center"/>
            <w:textDirection w:val="lrTb"/>
            <w:noWrap w:val="false"/>
          </w:tcPr>
          <w:p>
            <w:pPr>
              <w:jc w:val="left"/>
              <w:spacing w:before="100" w:beforeAutospacing="1" w:after="100" w:afterAutospacing="1"/>
              <w:rPr>
                <w:rFonts w:cs="Segoe UI"/>
                <w:color w:val="auto"/>
                <w:sz w:val="24"/>
                <w:highlight w:val="none"/>
              </w:rPr>
            </w:pPr>
            <w:r>
              <w:rPr>
                <w:rFonts w:ascii="宋体" w:hAnsi="宋体" w:cs="Segoe UI"/>
                <w:color w:val="auto"/>
                <w:sz w:val="24"/>
                <w:highlight w:val="none"/>
              </w:rPr>
              <w:t xml:space="preserve">项目名称</w:t>
            </w:r>
            <w:r/>
          </w:p>
        </w:tc>
        <w:tc>
          <w:tcPr>
            <w:tcW w:w="3528" w:type="dxa"/>
            <w:vAlign w:val="center"/>
            <w:textDirection w:val="lrTb"/>
            <w:noWrap w:val="false"/>
          </w:tcPr>
          <w:p>
            <w:pPr>
              <w:jc w:val="left"/>
              <w:spacing w:before="100" w:beforeAutospacing="1" w:after="100" w:afterAutospacing="1"/>
              <w:rPr>
                <w:rFonts w:cs="Segoe UI"/>
                <w:color w:val="auto"/>
                <w:sz w:val="24"/>
                <w:highlight w:val="none"/>
              </w:rPr>
            </w:pPr>
            <w:r>
              <w:rPr>
                <w:rFonts w:ascii="宋体" w:hAnsi="宋体" w:cs="Segoe UI"/>
                <w:color w:val="auto"/>
                <w:sz w:val="24"/>
                <w:highlight w:val="none"/>
              </w:rPr>
              <w:t xml:space="preserve">项目内容</w:t>
            </w:r>
            <w:r/>
          </w:p>
        </w:tc>
        <w:tc>
          <w:tcPr>
            <w:tcW w:w="3200" w:type="dxa"/>
            <w:vAlign w:val="center"/>
            <w:textDirection w:val="lrTb"/>
            <w:noWrap w:val="false"/>
          </w:tcPr>
          <w:p>
            <w:pPr>
              <w:jc w:val="left"/>
              <w:spacing w:before="100" w:beforeAutospacing="1" w:after="100" w:afterAutospacing="1"/>
              <w:rPr>
                <w:rFonts w:cs="Segoe UI"/>
                <w:color w:val="auto"/>
                <w:sz w:val="24"/>
                <w:highlight w:val="none"/>
              </w:rPr>
            </w:pPr>
            <w:r>
              <w:rPr>
                <w:rFonts w:hint="eastAsia" w:ascii="宋体" w:hAnsi="宋体" w:cs="Segoe UI"/>
                <w:color w:val="auto"/>
                <w:sz w:val="24"/>
                <w:highlight w:val="none"/>
              </w:rPr>
              <w:t xml:space="preserve">总</w:t>
            </w:r>
            <w:r>
              <w:rPr>
                <w:rFonts w:ascii="宋体" w:hAnsi="宋体" w:cs="Segoe UI"/>
                <w:color w:val="auto"/>
                <w:sz w:val="24"/>
                <w:highlight w:val="none"/>
              </w:rPr>
              <w:t xml:space="preserve">价（小写）</w:t>
            </w:r>
            <w:r/>
          </w:p>
        </w:tc>
      </w:tr>
      <w:tr>
        <w:trPr>
          <w:trHeight w:val="1234"/>
        </w:trPr>
        <w:tc>
          <w:tcPr>
            <w:tcW w:w="2871" w:type="dxa"/>
            <w:vAlign w:val="center"/>
            <w:textDirection w:val="lrTb"/>
            <w:noWrap w:val="false"/>
          </w:tcPr>
          <w:p>
            <w:pPr>
              <w:jc w:val="center"/>
              <w:spacing w:before="100" w:beforeAutospacing="1" w:after="100" w:afterAutospacing="1"/>
              <w:rPr>
                <w:rFonts w:cs="Segoe UI"/>
                <w:color w:val="auto"/>
                <w:sz w:val="24"/>
                <w:highlight w:val="none"/>
              </w:rPr>
            </w:pPr>
            <w:r>
              <w:rPr>
                <w:rFonts w:hint="eastAsia" w:ascii="宋体" w:hAnsi="宋体" w:cs="宋体"/>
                <w:color w:val="auto"/>
                <w:sz w:val="24"/>
                <w:szCs w:val="24"/>
                <w:highlight w:val="none"/>
                <w:lang w:eastAsia="zh-CN"/>
              </w:rPr>
            </w:r>
            <w:r>
              <w:rPr>
                <w:rFonts w:ascii="Arial" w:hAnsi="Arial" w:eastAsia="Arial" w:cs="Arial"/>
                <w:color w:val="000000"/>
                <w:sz w:val="24"/>
              </w:rPr>
              <w:t xml:space="preserve">项目名称</w:t>
            </w:r>
            <w:r>
              <w:rPr>
                <w:rFonts w:hint="eastAsia" w:ascii="宋体" w:hAnsi="宋体" w:cs="宋体"/>
                <w:color w:val="auto"/>
                <w:sz w:val="24"/>
                <w:szCs w:val="24"/>
                <w:highlight w:val="none"/>
                <w:lang w:eastAsia="zh-CN"/>
              </w:rPr>
            </w:r>
            <w:r/>
          </w:p>
        </w:tc>
        <w:tc>
          <w:tcPr>
            <w:tcW w:w="3528" w:type="dxa"/>
            <w:vAlign w:val="center"/>
            <w:textDirection w:val="lrTb"/>
            <w:noWrap w:val="false"/>
          </w:tcPr>
          <w:p>
            <w:pPr>
              <w:jc w:val="left"/>
              <w:spacing w:before="100" w:beforeAutospacing="1" w:after="100" w:afterAutospacing="1"/>
              <w:rPr>
                <w:rFonts w:cs="Segoe UI"/>
                <w:color w:val="auto"/>
                <w:sz w:val="24"/>
                <w:highlight w:val="none"/>
              </w:rPr>
            </w:pPr>
            <w:r>
              <w:rPr>
                <w:rFonts w:ascii="宋体" w:hAnsi="宋体" w:cs="宋体"/>
                <w:color w:val="auto"/>
                <w:sz w:val="24"/>
                <w:highlight w:val="none"/>
              </w:rPr>
              <w:t xml:space="preserve">详见响应文件</w:t>
            </w:r>
            <w:r/>
          </w:p>
        </w:tc>
        <w:tc>
          <w:tcPr>
            <w:tcW w:w="3200" w:type="dxa"/>
            <w:vAlign w:val="center"/>
            <w:textDirection w:val="lrTb"/>
            <w:noWrap w:val="false"/>
          </w:tcPr>
          <w:p>
            <w:pPr>
              <w:jc w:val="right"/>
              <w:spacing w:before="100" w:beforeAutospacing="1" w:after="100" w:afterAutospacing="1"/>
              <w:rPr>
                <w:rFonts w:cs="Segoe UI"/>
                <w:color w:val="auto"/>
                <w:sz w:val="24"/>
                <w:highlight w:val="none"/>
              </w:rPr>
            </w:pPr>
            <w:r>
              <w:rPr>
                <w:rFonts w:hint="eastAsia" w:ascii="宋体" w:hAnsi="宋体" w:cs="Segoe UI"/>
                <w:color w:val="auto"/>
                <w:sz w:val="24"/>
                <w:highlight w:val="none"/>
              </w:rPr>
              <w:t xml:space="preserve"> </w:t>
            </w:r>
            <w:r>
              <w:rPr>
                <w:rFonts w:ascii="宋体" w:hAnsi="宋体" w:cs="Segoe UI"/>
                <w:color w:val="auto"/>
                <w:sz w:val="24"/>
                <w:highlight w:val="none"/>
              </w:rPr>
              <w:t xml:space="preserve">  </w:t>
            </w:r>
            <w:r>
              <w:rPr>
                <w:rFonts w:hint="eastAsia" w:ascii="宋体" w:hAnsi="宋体" w:cs="Segoe UI"/>
                <w:color w:val="auto"/>
                <w:sz w:val="24"/>
                <w:highlight w:val="none"/>
              </w:rPr>
              <w:t xml:space="preserve">元</w:t>
            </w:r>
            <w:r/>
          </w:p>
        </w:tc>
      </w:tr>
      <w:tr>
        <w:trPr>
          <w:trHeight w:val="785"/>
        </w:trPr>
        <w:tc>
          <w:tcPr>
            <w:tcW w:w="2871" w:type="dxa"/>
            <w:vAlign w:val="center"/>
            <w:textDirection w:val="lrTb"/>
            <w:noWrap w:val="false"/>
          </w:tcPr>
          <w:p>
            <w:pPr>
              <w:spacing w:before="100" w:beforeAutospacing="1" w:after="100" w:afterAutospacing="1"/>
              <w:rPr>
                <w:rFonts w:cs="Segoe UI"/>
                <w:color w:val="auto"/>
                <w:sz w:val="24"/>
                <w:highlight w:val="none"/>
              </w:rPr>
            </w:pPr>
            <w:r>
              <w:rPr>
                <w:rFonts w:hint="eastAsia" w:ascii="宋体" w:hAnsi="宋体" w:cs="Segoe UI"/>
                <w:color w:val="auto"/>
                <w:sz w:val="24"/>
                <w:highlight w:val="none"/>
              </w:rPr>
              <w:t xml:space="preserve">总</w:t>
            </w:r>
            <w:r>
              <w:rPr>
                <w:rFonts w:ascii="宋体" w:hAnsi="宋体" w:cs="Segoe UI"/>
                <w:color w:val="auto"/>
                <w:sz w:val="24"/>
                <w:highlight w:val="none"/>
              </w:rPr>
              <w:t xml:space="preserve">价（大写）：</w:t>
            </w:r>
            <w:r/>
          </w:p>
        </w:tc>
        <w:tc>
          <w:tcPr>
            <w:gridSpan w:val="2"/>
            <w:tcW w:w="6728" w:type="dxa"/>
            <w:vAlign w:val="center"/>
            <w:textDirection w:val="lrTb"/>
            <w:noWrap w:val="false"/>
          </w:tcPr>
          <w:p>
            <w:pPr>
              <w:spacing w:before="100" w:beforeAutospacing="1" w:after="100" w:afterAutospacing="1"/>
              <w:rPr>
                <w:rFonts w:cs="Segoe UI"/>
                <w:color w:val="auto"/>
                <w:sz w:val="24"/>
                <w:highlight w:val="none"/>
              </w:rPr>
            </w:pPr>
            <w:r>
              <w:rPr>
                <w:rFonts w:ascii="宋体" w:hAnsi="宋体" w:cs="Segoe UI"/>
                <w:color w:val="auto"/>
                <w:sz w:val="24"/>
                <w:highlight w:val="none"/>
              </w:rPr>
              <w:t xml:space="preserve">金额大写</w:t>
            </w:r>
            <w:r>
              <w:rPr>
                <w:rFonts w:hint="eastAsia" w:ascii="宋体" w:hAnsi="宋体" w:cs="Segoe UI"/>
                <w:color w:val="auto"/>
                <w:sz w:val="24"/>
                <w:highlight w:val="none"/>
              </w:rPr>
              <w:t xml:space="preserve">：</w:t>
            </w:r>
            <w:r/>
          </w:p>
        </w:tc>
      </w:tr>
    </w:tbl>
    <w:p>
      <w:pPr>
        <w:pStyle w:val="1035"/>
        <w:spacing w:line="520" w:lineRule="exact"/>
        <w:rPr>
          <w:rFonts w:ascii="宋体" w:hAnsi="宋体"/>
          <w:color w:val="auto"/>
          <w:sz w:val="24"/>
          <w:highlight w:val="none"/>
        </w:rPr>
      </w:pPr>
      <w:r>
        <w:rPr>
          <w:rFonts w:ascii="宋体" w:hAnsi="宋体"/>
          <w:color w:val="auto"/>
          <w:sz w:val="24"/>
          <w:highlight w:val="none"/>
        </w:rPr>
      </w:r>
      <w:r/>
    </w:p>
    <w:p>
      <w:pPr>
        <w:ind w:firstLine="6000"/>
        <w:keepLines w:val="0"/>
        <w:keepNext w:val="0"/>
        <w:pageBreakBefore w:val="0"/>
        <w:spacing w:before="240" w:after="240"/>
        <w:widowControl w:val="off"/>
        <w:rPr>
          <w:color w:val="auto"/>
          <w:highlight w:val="none"/>
        </w:rPr>
      </w:pPr>
      <w:r>
        <w:rPr>
          <w:rFonts w:ascii="宋体" w:hAnsi="宋体" w:cs="宋体"/>
          <w:color w:val="auto"/>
          <w:sz w:val="24"/>
          <w:highlight w:val="none"/>
        </w:rPr>
        <w:t xml:space="preserve">供应商（电子签章）：</w:t>
      </w:r>
      <w:r/>
    </w:p>
    <w:p>
      <w:pPr>
        <w:ind w:firstLine="6000"/>
        <w:jc w:val="both"/>
        <w:keepLines w:val="0"/>
        <w:keepNext w:val="0"/>
        <w:pageBreakBefore w:val="0"/>
        <w:spacing w:before="240" w:after="240"/>
        <w:widowControl w:val="off"/>
        <w:rPr>
          <w:color w:val="auto"/>
          <w:highlight w:val="none"/>
        </w:rPr>
      </w:pPr>
      <w:r>
        <w:rPr>
          <w:rFonts w:ascii="宋体" w:hAnsi="宋体" w:cs="宋体"/>
          <w:color w:val="auto"/>
          <w:sz w:val="24"/>
          <w:highlight w:val="none"/>
        </w:rPr>
        <w:t xml:space="preserve">日期：</w:t>
      </w:r>
      <w:r>
        <w:rPr>
          <w:rFonts w:hint="eastAsia" w:ascii="宋体" w:hAnsi="宋体" w:cs="宋体"/>
          <w:color w:val="auto"/>
          <w:sz w:val="24"/>
          <w:highlight w:val="none"/>
          <w:lang w:val="en-US" w:eastAsia="zh-CN"/>
        </w:rPr>
        <w:t xml:space="preserve">  </w:t>
      </w:r>
      <w:r>
        <w:rPr>
          <w:rFonts w:ascii="Calibri" w:hAnsi="Calibri" w:eastAsia="Calibri" w:cs="Calibri"/>
          <w:color w:val="auto"/>
          <w:sz w:val="24"/>
          <w:highlight w:val="none"/>
        </w:rPr>
        <w:t xml:space="preserve"> </w:t>
      </w:r>
      <w:r>
        <w:rPr>
          <w:rFonts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  </w:t>
      </w:r>
      <w:r>
        <w:rPr>
          <w:rFonts w:ascii="Calibri" w:hAnsi="Calibri" w:eastAsia="Calibri" w:cs="Calibri"/>
          <w:color w:val="auto"/>
          <w:sz w:val="24"/>
          <w:highlight w:val="none"/>
        </w:rPr>
        <w:t xml:space="preserve"> </w:t>
      </w:r>
      <w:r>
        <w:rPr>
          <w:rFonts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ascii="Calibri" w:hAnsi="Calibri" w:eastAsia="Calibri" w:cs="Calibri"/>
          <w:color w:val="auto"/>
          <w:sz w:val="24"/>
          <w:highlight w:val="none"/>
        </w:rPr>
        <w:t xml:space="preserve"> </w:t>
      </w:r>
      <w:r>
        <w:rPr>
          <w:rFonts w:ascii="宋体" w:hAnsi="宋体" w:cs="宋体"/>
          <w:color w:val="auto"/>
          <w:sz w:val="24"/>
          <w:highlight w:val="none"/>
        </w:rPr>
        <w:t xml:space="preserve">日</w:t>
      </w:r>
      <w:r/>
    </w:p>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987"/>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987"/>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987"/>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numPr>
          <w:ilvl w:val="0"/>
          <w:numId w:val="0"/>
        </w:numPr>
        <w:jc w:val="center"/>
        <w:rPr>
          <w:rFonts w:hint="eastAsia" w:ascii="宋体" w:hAnsi="宋体" w:eastAsia="宋体" w:cs="黑体"/>
          <w:b/>
          <w:color w:val="auto"/>
          <w:sz w:val="32"/>
          <w:szCs w:val="32"/>
          <w:highlight w:val="none"/>
        </w:rPr>
      </w:pPr>
      <w:r>
        <w:rPr>
          <w:rFonts w:hint="eastAsia" w:ascii="宋体" w:hAnsi="宋体" w:eastAsia="宋体" w:cs="黑体"/>
          <w:b/>
          <w:color w:val="auto"/>
          <w:sz w:val="32"/>
          <w:szCs w:val="32"/>
          <w:highlight w:val="none"/>
        </w:rPr>
        <w:br w:type="page" w:clear="all"/>
      </w:r>
      <w:r>
        <w:rPr>
          <w:rFonts w:hint="eastAsia" w:ascii="宋体" w:hAnsi="宋体" w:eastAsia="宋体" w:cs="黑体"/>
          <w:b/>
          <w:color w:val="auto"/>
          <w:sz w:val="32"/>
          <w:szCs w:val="32"/>
          <w:highlight w:val="none"/>
          <w:lang w:eastAsia="zh-CN"/>
        </w:rPr>
        <w:t xml:space="preserve">十二、</w:t>
      </w:r>
      <w:r>
        <w:rPr>
          <w:rFonts w:hint="eastAsia" w:ascii="宋体" w:hAnsi="宋体" w:eastAsia="宋体" w:cs="黑体"/>
          <w:b/>
          <w:color w:val="auto"/>
          <w:sz w:val="32"/>
          <w:szCs w:val="32"/>
          <w:highlight w:val="none"/>
          <w:lang w:val="en-US" w:eastAsia="zh-CN" w:bidi="ar-SA"/>
        </w:rPr>
        <w:t xml:space="preserve">分项报价表</w:t>
      </w:r>
      <w:r/>
    </w:p>
    <w:p>
      <w:pPr>
        <w:numPr>
          <w:ilvl w:val="0"/>
          <w:numId w:val="0"/>
        </w:numPr>
        <w:jc w:val="center"/>
        <w:rPr>
          <w:rFonts w:hint="eastAsia" w:ascii="宋体" w:hAnsi="宋体" w:eastAsia="宋体" w:cs="黑体"/>
          <w:b/>
          <w:color w:val="auto"/>
          <w:sz w:val="32"/>
          <w:szCs w:val="32"/>
          <w:highlight w:val="none"/>
        </w:rPr>
      </w:pPr>
      <w:r>
        <w:rPr>
          <w:rFonts w:hint="eastAsia" w:ascii="宋体" w:hAnsi="宋体" w:eastAsia="宋体" w:cs="黑体"/>
          <w:b/>
          <w:color w:val="auto"/>
          <w:sz w:val="32"/>
          <w:szCs w:val="32"/>
          <w:highlight w:val="none"/>
        </w:rPr>
      </w:r>
      <w:r/>
    </w:p>
    <w:tbl>
      <w:tblPr>
        <w:tblStyle w:val="78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4561"/>
        <w:gridCol w:w="838"/>
        <w:gridCol w:w="856"/>
        <w:gridCol w:w="853"/>
        <w:gridCol w:w="790"/>
        <w:gridCol w:w="1329"/>
      </w:tblGrid>
      <w:tr>
        <w:trPr>
          <w:jc w:val="center"/>
          <w:trHeight w:val="1189" w:hRule="exact"/>
        </w:trPr>
        <w:tc>
          <w:tcPr>
            <w:tcW w:w="9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456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服务名称</w:t>
            </w:r>
            <w:r/>
          </w:p>
        </w:tc>
        <w:tc>
          <w:tcPr>
            <w:tcW w:w="83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W w:w="85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85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tc>
        <w:tc>
          <w:tcPr>
            <w:tcW w:w="7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合价</w:t>
            </w:r>
            <w:r/>
          </w:p>
        </w:tc>
        <w:tc>
          <w:tcPr>
            <w:tcW w:w="13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634" w:hRule="exact"/>
        </w:trPr>
        <w:tc>
          <w:tcPr>
            <w:tcW w:w="9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456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3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34" w:hRule="exact"/>
        </w:trPr>
        <w:tc>
          <w:tcPr>
            <w:tcW w:w="9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456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3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34" w:hRule="exact"/>
        </w:trPr>
        <w:tc>
          <w:tcPr>
            <w:tcW w:w="9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456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3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34" w:hRule="exact"/>
        </w:trPr>
        <w:tc>
          <w:tcPr>
            <w:tcW w:w="9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456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3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34" w:hRule="exact"/>
        </w:trPr>
        <w:tc>
          <w:tcPr>
            <w:tcW w:w="9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456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3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34" w:hRule="exact"/>
        </w:trPr>
        <w:tc>
          <w:tcPr>
            <w:tcW w:w="9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456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83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45" w:hRule="exact"/>
        </w:trPr>
        <w:tc>
          <w:tcPr>
            <w:gridSpan w:val="2"/>
            <w:tcW w:w="547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tcW w:w="83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b/>
          <w:bCs/>
          <w:color w:val="auto"/>
          <w:szCs w:val="21"/>
          <w:highlight w:val="none"/>
        </w:rPr>
      </w:pPr>
      <w:r>
        <w:rPr>
          <w:b/>
          <w:bCs/>
          <w:color w:val="auto"/>
          <w:szCs w:val="21"/>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u w:val="single"/>
        </w:rPr>
      </w:pPr>
      <w:r>
        <w:rPr>
          <w:rFonts w:hint="eastAsia" w:ascii="宋体" w:hAnsi="宋体" w:cs="宋体"/>
          <w:color w:val="auto"/>
          <w:sz w:val="24"/>
          <w:highlight w:val="none"/>
        </w:rPr>
        <w:t xml:space="preserve">投标人全称（盖章）：</w:t>
      </w:r>
      <w:r>
        <w:rPr>
          <w:rFonts w:hint="eastAsia" w:ascii="宋体" w:hAnsi="宋体" w:cs="宋体"/>
          <w:color w:val="auto"/>
          <w:sz w:val="24"/>
          <w:highlight w:val="none"/>
          <w:u w:val="single"/>
        </w:rPr>
        <w:t xml:space="preserve">                         </w:t>
      </w:r>
      <w:r/>
    </w:p>
    <w:p>
      <w:pPr>
        <w:spacing w:line="480" w:lineRule="exact"/>
        <w:rPr>
          <w:bCs/>
          <w:color w:val="auto"/>
          <w:sz w:val="24"/>
          <w:highlight w:val="none"/>
        </w:rPr>
      </w:pPr>
      <w:r>
        <w:rPr>
          <w:rFonts w:hint="eastAsia" w:ascii="宋体" w:hAnsi="宋体" w:cs="宋体"/>
          <w:color w:val="auto"/>
          <w:sz w:val="24"/>
          <w:highlight w:val="none"/>
        </w:rPr>
        <w:t xml:space="preserve">法定代表人或者授权代表（签字或盖章）：</w:t>
      </w:r>
      <w:r/>
    </w:p>
    <w:p>
      <w:pPr>
        <w:jc w:val="right"/>
        <w:spacing w:line="480" w:lineRule="exact"/>
        <w:rPr>
          <w:bCs/>
          <w:color w:val="auto"/>
          <w:sz w:val="24"/>
          <w:highlight w:val="none"/>
        </w:rPr>
      </w:pPr>
      <w:r>
        <w:rPr>
          <w:rFonts w:hint="eastAsia" w:ascii="宋体" w:hAnsi="宋体" w:cs="宋体"/>
          <w:color w:val="auto"/>
          <w:highlight w:val="none"/>
        </w:rPr>
        <w:t xml:space="preserve">________年____月____日</w:t>
      </w:r>
      <w:r/>
    </w:p>
    <w:p>
      <w:pPr>
        <w:pStyle w:val="967"/>
        <w:ind w:left="0"/>
        <w:rPr>
          <w:color w:val="auto"/>
          <w:sz w:val="24"/>
          <w:highlight w:val="none"/>
        </w:rPr>
      </w:pPr>
      <w:r>
        <w:rPr>
          <w:color w:val="auto"/>
          <w:sz w:val="24"/>
          <w:highlight w:val="none"/>
        </w:rPr>
      </w:r>
      <w:r/>
    </w:p>
    <w:p>
      <w:pPr>
        <w:jc w:val="left"/>
        <w:widowControl/>
        <w:rPr>
          <w:rFonts w:ascii="宋体" w:hAnsi="宋体" w:eastAsia="宋体" w:cs="黑体"/>
          <w:b/>
          <w:color w:val="auto"/>
          <w:sz w:val="32"/>
          <w:szCs w:val="32"/>
          <w:highlight w:val="none"/>
        </w:rPr>
      </w:pPr>
      <w:r>
        <w:rPr>
          <w:rFonts w:ascii="宋体" w:hAnsi="宋体" w:eastAsia="宋体" w:cs="黑体"/>
          <w:b/>
          <w:color w:val="auto"/>
          <w:sz w:val="32"/>
          <w:szCs w:val="32"/>
          <w:highlight w:val="none"/>
        </w:rPr>
        <w:br w:type="page" w:clear="all"/>
      </w:r>
      <w:r/>
    </w:p>
    <w:p>
      <w:pPr>
        <w:pStyle w:val="987"/>
        <w:numPr>
          <w:ilvl w:val="0"/>
          <w:numId w:val="4"/>
        </w:numPr>
        <w:jc w:val="center"/>
        <w:spacing w:beforeAutospacing="0" w:afterAutospacing="0"/>
        <w:rPr>
          <w:rFonts w:hint="eastAsia" w:ascii="宋体" w:hAnsi="宋体" w:eastAsia="宋体" w:cs="黑体"/>
          <w:b/>
          <w:color w:val="auto"/>
          <w:sz w:val="32"/>
          <w:szCs w:val="32"/>
          <w:highlight w:val="none"/>
        </w:rPr>
      </w:pPr>
      <w:r>
        <w:rPr>
          <w:rFonts w:hint="eastAsia" w:ascii="宋体" w:hAnsi="宋体" w:eastAsia="宋体" w:cs="黑体"/>
          <w:b/>
          <w:color w:val="auto"/>
          <w:sz w:val="32"/>
          <w:szCs w:val="32"/>
          <w:highlight w:val="none"/>
        </w:rPr>
        <w:t xml:space="preserve">技术要求响应及偏离表</w:t>
      </w:r>
      <w:r/>
    </w:p>
    <w:tbl>
      <w:tblPr>
        <w:tblStyle w:val="780"/>
        <w:tblW w:w="989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24"/>
        <w:gridCol w:w="3516"/>
        <w:gridCol w:w="3030"/>
        <w:gridCol w:w="1449"/>
        <w:gridCol w:w="1278"/>
      </w:tblGrid>
      <w:tr>
        <w:trPr>
          <w:tblCellSpacing w:w="0" w:type="dxa"/>
          <w:trHeight w:val="1322"/>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证明</w:t>
            </w:r>
            <w:r/>
          </w:p>
          <w:p>
            <w:pPr>
              <w:pStyle w:val="987"/>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材料</w:t>
            </w:r>
            <w:r/>
          </w:p>
        </w:tc>
      </w:tr>
      <w:tr>
        <w:trPr>
          <w:tblCellSpacing w:w="0" w:type="dxa"/>
          <w:trHeight w:val="76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76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76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76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76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76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76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76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bl>
    <w:p>
      <w:pPr>
        <w:pStyle w:val="987"/>
        <w:jc w:val="both"/>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注： 行数不够，可自行添加。</w:t>
      </w:r>
      <w:r/>
    </w:p>
    <w:p>
      <w:pPr>
        <w:pStyle w:val="987"/>
        <w:numPr>
          <w:ilvl w:val="0"/>
          <w:numId w:val="0"/>
        </w:numPr>
        <w:jc w:val="both"/>
        <w:spacing w:beforeAutospacing="0" w:afterAutospacing="0"/>
        <w:rPr>
          <w:rFonts w:hint="eastAsia" w:ascii="宋体" w:hAnsi="宋体" w:eastAsia="宋体" w:cs="黑体"/>
          <w:b/>
          <w:color w:val="auto"/>
          <w:sz w:val="32"/>
          <w:szCs w:val="32"/>
          <w:highlight w:val="none"/>
        </w:rPr>
      </w:pPr>
      <w:r>
        <w:rPr>
          <w:rFonts w:hint="eastAsia" w:ascii="宋体" w:hAnsi="宋体" w:eastAsia="宋体" w:cs="黑体"/>
          <w:b/>
          <w:color w:val="auto"/>
          <w:sz w:val="32"/>
          <w:szCs w:val="32"/>
          <w:highlight w:val="none"/>
        </w:rPr>
      </w:r>
      <w:r/>
    </w:p>
    <w:p>
      <w:pPr>
        <w:pStyle w:val="987"/>
        <w:jc w:val="center"/>
        <w:spacing w:beforeAutospacing="0" w:afterAutospacing="0"/>
        <w:rPr>
          <w:rFonts w:hint="eastAsia" w:ascii="宋体" w:hAnsi="宋体" w:eastAsia="宋体" w:cs="黑体"/>
          <w:b/>
          <w:color w:val="auto"/>
          <w:sz w:val="32"/>
          <w:szCs w:val="32"/>
          <w:highlight w:val="none"/>
        </w:rPr>
        <w:sectPr>
          <w:footnotePr/>
          <w:endnotePr/>
          <w:type w:val="nextPage"/>
          <w:pgSz w:w="11905" w:h="16838" w:orient="portrait"/>
          <w:pgMar w:top="607" w:right="850" w:bottom="811" w:left="1134" w:header="624" w:footer="992" w:gutter="0"/>
          <w:cols w:num="1" w:sep="0" w:space="1701" w:equalWidth="1"/>
          <w:docGrid w:linePitch="360"/>
        </w:sectPr>
      </w:pPr>
      <w:r>
        <w:rPr>
          <w:rFonts w:hint="eastAsia" w:ascii="宋体" w:hAnsi="宋体" w:eastAsia="宋体" w:cs="黑体"/>
          <w:b/>
          <w:color w:val="auto"/>
          <w:sz w:val="32"/>
          <w:szCs w:val="32"/>
          <w:highlight w:val="none"/>
        </w:rPr>
      </w:r>
      <w:r/>
    </w:p>
    <w:p>
      <w:pPr>
        <w:pStyle w:val="987"/>
        <w:jc w:val="center"/>
        <w:spacing w:beforeAutospacing="0" w:afterAutospacing="0"/>
        <w:rPr>
          <w:rFonts w:hint="eastAsia" w:ascii="宋体" w:hAnsi="宋体" w:eastAsia="宋体" w:cs="黑体"/>
          <w:b/>
          <w:color w:val="auto"/>
          <w:sz w:val="32"/>
          <w:szCs w:val="32"/>
          <w:highlight w:val="none"/>
        </w:rPr>
      </w:pPr>
      <w:r>
        <w:rPr>
          <w:rFonts w:hint="eastAsia" w:ascii="宋体" w:hAnsi="宋体" w:eastAsia="宋体" w:cs="黑体"/>
          <w:b/>
          <w:color w:val="auto"/>
          <w:sz w:val="32"/>
          <w:szCs w:val="32"/>
          <w:highlight w:val="none"/>
        </w:rPr>
      </w:r>
      <w:r/>
    </w:p>
    <w:p>
      <w:pPr>
        <w:pStyle w:val="987"/>
        <w:jc w:val="center"/>
        <w:spacing w:beforeAutospacing="0" w:afterAutospacing="0"/>
        <w:rPr>
          <w:rFonts w:ascii="宋体" w:hAnsi="宋体" w:eastAsia="宋体"/>
          <w:color w:val="auto"/>
          <w:highlight w:val="none"/>
        </w:rPr>
      </w:pPr>
      <w:r>
        <w:rPr>
          <w:rFonts w:hint="eastAsia" w:ascii="宋体" w:hAnsi="宋体" w:eastAsia="宋体" w:cs="黑体"/>
          <w:b/>
          <w:color w:val="auto"/>
          <w:sz w:val="32"/>
          <w:szCs w:val="32"/>
          <w:highlight w:val="none"/>
        </w:rPr>
        <w:t xml:space="preserve">十四、商务要求响应及偏离表</w:t>
      </w:r>
      <w:r/>
    </w:p>
    <w:tbl>
      <w:tblPr>
        <w:tblStyle w:val="780"/>
        <w:tblW w:w="989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24"/>
        <w:gridCol w:w="3515"/>
        <w:gridCol w:w="3030"/>
        <w:gridCol w:w="1449"/>
        <w:gridCol w:w="1279"/>
      </w:tblGrid>
      <w:tr>
        <w:trPr>
          <w:tblCellSpacing w:w="0" w:type="dxa"/>
          <w:trHeight w:val="141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87"/>
              <w:jc w:val="center"/>
              <w:spacing w:beforeAutospacing="0" w:afterAutospacing="0"/>
              <w:rPr>
                <w:rFonts w:ascii="宋体" w:hAnsi="宋体" w:eastAsia="宋体"/>
                <w:color w:val="auto"/>
                <w:highlight w:val="none"/>
              </w:rPr>
            </w:pPr>
            <w:r/>
            <w:bookmarkStart w:id="141" w:name="_Hlt26580838"/>
            <w:r/>
            <w:bookmarkStart w:id="142" w:name="_Hlt24879081"/>
            <w:r/>
            <w:bookmarkStart w:id="143" w:name="_Hlt26671343"/>
            <w:r/>
            <w:bookmarkStart w:id="144" w:name="_Hlt26955064"/>
            <w:r/>
            <w:bookmarkStart w:id="145" w:name="_Hlt26671372"/>
            <w:r/>
            <w:bookmarkStart w:id="146" w:name="_Hlt26609391"/>
            <w:r/>
            <w:bookmarkStart w:id="147" w:name="_Hlt26955056"/>
            <w:r/>
            <w:bookmarkStart w:id="148" w:name="_Hlt26782999"/>
            <w:r>
              <w:rPr>
                <w:rFonts w:hint="eastAsia" w:ascii="宋体" w:hAnsi="宋体" w:eastAsia="宋体" w:cs="宋体"/>
                <w:color w:val="auto"/>
                <w:highlight w:val="none"/>
              </w:rPr>
              <w:t xml:space="preserve">序号</w:t>
            </w:r>
            <w:bookmarkEnd w:id="141"/>
            <w:r/>
            <w:bookmarkEnd w:id="142"/>
            <w:r/>
            <w:bookmarkEnd w:id="143"/>
            <w:r/>
            <w:bookmarkEnd w:id="144"/>
            <w:r/>
            <w:bookmarkEnd w:id="145"/>
            <w:r/>
            <w:bookmarkEnd w:id="146"/>
            <w:r/>
            <w:bookmarkEnd w:id="147"/>
            <w:r/>
            <w:bookmarkEnd w:id="148"/>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证明</w:t>
            </w:r>
            <w:r/>
          </w:p>
          <w:p>
            <w:pPr>
              <w:pStyle w:val="987"/>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材料</w:t>
            </w:r>
            <w:r/>
          </w:p>
        </w:tc>
      </w:tr>
      <w:tr>
        <w:trPr>
          <w:tblCellSpacing w:w="0" w:type="dxa"/>
          <w:trHeight w:val="816"/>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816"/>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816"/>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816"/>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816"/>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816"/>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816"/>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816"/>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tc>
      </w:tr>
    </w:tbl>
    <w:p>
      <w:pPr>
        <w:pStyle w:val="987"/>
        <w:jc w:val="both"/>
        <w:spacing w:beforeAutospacing="0" w:afterAutospacing="0"/>
        <w:rPr>
          <w:rFonts w:ascii="宋体" w:hAnsi="宋体" w:eastAsia="宋体"/>
          <w:color w:val="auto"/>
          <w:highlight w:val="none"/>
        </w:rPr>
      </w:pPr>
      <w:r>
        <w:rPr>
          <w:rFonts w:hint="eastAsia" w:ascii="宋体" w:hAnsi="宋体" w:eastAsia="宋体" w:cs="宋体"/>
          <w:color w:val="auto"/>
          <w:highlight w:val="none"/>
        </w:rPr>
        <w:t xml:space="preserve">注： 行数不够，可自行添加。</w:t>
      </w:r>
      <w:r/>
    </w:p>
    <w:p>
      <w:pPr>
        <w:pStyle w:val="987"/>
        <w:jc w:val="both"/>
        <w:spacing w:beforeAutospacing="0" w:afterAutospacing="0" w:line="480" w:lineRule="auto"/>
        <w:rPr>
          <w:rFonts w:ascii="宋体" w:hAnsi="宋体" w:eastAsia="宋体"/>
          <w:color w:val="auto"/>
          <w:highlight w:val="none"/>
        </w:rPr>
      </w:pPr>
      <w:r>
        <w:rPr>
          <w:rFonts w:ascii="宋体" w:hAnsi="宋体" w:eastAsia="宋体"/>
          <w:color w:val="auto"/>
          <w:highlight w:val="none"/>
        </w:rPr>
        <w:t xml:space="preserve"> </w:t>
      </w:r>
      <w:r/>
    </w:p>
    <w:p>
      <w:pPr>
        <w:pStyle w:val="987"/>
        <w:jc w:val="both"/>
        <w:spacing w:beforeAutospacing="0" w:afterAutospacing="0" w:line="480" w:lineRule="auto"/>
        <w:rPr>
          <w:rFonts w:ascii="宋体" w:hAnsi="宋体" w:eastAsia="宋体"/>
          <w:color w:val="auto"/>
          <w:highlight w:val="none"/>
        </w:rPr>
      </w:pPr>
      <w:r>
        <w:rPr>
          <w:rFonts w:ascii="宋体" w:hAnsi="宋体" w:eastAsia="宋体"/>
          <w:color w:val="auto"/>
          <w:highlight w:val="none"/>
        </w:rPr>
        <w:t xml:space="preserve"> </w:t>
      </w:r>
      <w:r/>
    </w:p>
    <w:p>
      <w:pPr>
        <w:pStyle w:val="987"/>
        <w:jc w:val="center"/>
        <w:spacing w:beforeAutospacing="0" w:afterAutospacing="0"/>
        <w:rPr>
          <w:rFonts w:ascii="宋体" w:hAnsi="宋体" w:eastAsia="宋体"/>
          <w:color w:val="auto"/>
          <w:highlight w:val="none"/>
        </w:rPr>
      </w:pPr>
      <w:r/>
      <w:bookmarkStart w:id="149" w:name="_Hlt26609389"/>
      <w:r/>
      <w:bookmarkStart w:id="150" w:name="_格式2__法定代表人授权书"/>
      <w:r/>
      <w:bookmarkStart w:id="151" w:name="_Hlt26671374"/>
      <w:r/>
      <w:bookmarkStart w:id="152" w:name="_Hlt26955066"/>
      <w:r/>
      <w:bookmarkStart w:id="153" w:name="_Toc462564146"/>
      <w:r>
        <w:rPr>
          <w:rFonts w:ascii="宋体" w:hAnsi="宋体" w:eastAsia="宋体"/>
          <w:color w:val="auto"/>
          <w:highlight w:val="none"/>
        </w:rPr>
        <w:t xml:space="preserve"> </w:t>
      </w:r>
      <w:r/>
    </w:p>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r>
      <w:r/>
    </w:p>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r>
      <w:r/>
    </w:p>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r>
      <w:r/>
    </w:p>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r>
      <w:r/>
    </w:p>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t xml:space="preserve"> </w:t>
      </w:r>
      <w:r/>
    </w:p>
    <w:p>
      <w:pPr>
        <w:pStyle w:val="987"/>
        <w:jc w:val="center"/>
        <w:spacing w:beforeAutospacing="0" w:afterAutospacing="0"/>
        <w:rPr>
          <w:rFonts w:hint="eastAsia" w:ascii="宋体" w:hAnsi="宋体" w:eastAsia="宋体" w:cs="黑体"/>
          <w:b/>
          <w:color w:val="auto"/>
          <w:sz w:val="32"/>
          <w:szCs w:val="32"/>
          <w:highlight w:val="none"/>
        </w:rPr>
      </w:pPr>
      <w:r>
        <w:rPr>
          <w:rFonts w:hint="eastAsia" w:ascii="宋体" w:hAnsi="宋体" w:eastAsia="宋体" w:cs="黑体"/>
          <w:b/>
          <w:color w:val="auto"/>
          <w:sz w:val="32"/>
          <w:szCs w:val="32"/>
          <w:highlight w:val="none"/>
        </w:rPr>
      </w:r>
      <w:r/>
    </w:p>
    <w:p>
      <w:pPr>
        <w:pStyle w:val="987"/>
        <w:jc w:val="center"/>
        <w:spacing w:beforeAutospacing="0" w:afterAutospacing="0"/>
        <w:rPr>
          <w:rFonts w:hint="eastAsia" w:ascii="宋体" w:hAnsi="宋体" w:eastAsia="宋体" w:cs="黑体"/>
          <w:b/>
          <w:color w:val="auto"/>
          <w:sz w:val="32"/>
          <w:szCs w:val="32"/>
          <w:highlight w:val="none"/>
        </w:rPr>
      </w:pPr>
      <w:r>
        <w:rPr>
          <w:rFonts w:hint="eastAsia" w:ascii="宋体" w:hAnsi="宋体" w:eastAsia="宋体" w:cs="黑体"/>
          <w:b/>
          <w:color w:val="auto"/>
          <w:sz w:val="32"/>
          <w:szCs w:val="32"/>
          <w:highlight w:val="none"/>
        </w:rPr>
        <w:t xml:space="preserve">十五、</w:t>
      </w:r>
      <w:r/>
      <w:r>
        <w:rPr>
          <w:rFonts w:hint="eastAsia" w:ascii="宋体" w:hAnsi="宋体" w:eastAsia="宋体" w:cs="黑体"/>
          <w:b/>
          <w:color w:val="auto"/>
          <w:sz w:val="32"/>
          <w:szCs w:val="32"/>
          <w:highlight w:val="none"/>
        </w:rPr>
      </w:r>
      <w:r>
        <w:rPr>
          <w:rFonts w:hint="eastAsia" w:ascii="宋体" w:hAnsi="宋体" w:eastAsia="宋体" w:cs="黑体"/>
          <w:b/>
          <w:color w:val="auto"/>
          <w:sz w:val="32"/>
          <w:szCs w:val="32"/>
          <w:highlight w:val="none"/>
          <w:lang w:val="en-US" w:eastAsia="zh-CN" w:bidi="ar-SA"/>
        </w:rPr>
        <w:t xml:space="preserve">实施方案等</w:t>
      </w:r>
      <w:r/>
      <w:r>
        <w:rPr>
          <w:rFonts w:hint="eastAsia" w:ascii="宋体" w:hAnsi="宋体" w:eastAsia="宋体" w:cs="黑体"/>
          <w:b/>
          <w:color w:val="auto"/>
          <w:sz w:val="32"/>
          <w:szCs w:val="32"/>
          <w:highlight w:val="none"/>
        </w:rPr>
      </w:r>
    </w:p>
    <w:p>
      <w:pPr>
        <w:pStyle w:val="987"/>
        <w:jc w:val="both"/>
        <w:spacing w:beforeAutospacing="0" w:afterAutospacing="0"/>
        <w:tabs>
          <w:tab w:val="left" w:pos="2160" w:leader="none"/>
        </w:tabs>
        <w:rPr>
          <w:rFonts w:ascii="宋体" w:hAnsi="宋体" w:eastAsia="宋体"/>
          <w:color w:val="auto"/>
          <w:highlight w:val="none"/>
        </w:rPr>
      </w:pPr>
      <w:r>
        <w:rPr>
          <w:rFonts w:ascii="宋体" w:hAnsi="宋体" w:eastAsia="宋体"/>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before="50" w:after="50"/>
        <w:widowControl/>
        <w:rPr>
          <w:rFonts w:hint="eastAsia" w:ascii="宋体" w:hAnsi="宋体" w:eastAsia="宋体" w:cs="黑体"/>
          <w:b/>
          <w:color w:val="auto"/>
          <w:sz w:val="32"/>
          <w:szCs w:val="32"/>
          <w:highlight w:val="none"/>
        </w:rPr>
        <w:sectPr>
          <w:footnotePr/>
          <w:endnotePr/>
          <w:type w:val="nextPage"/>
          <w:pgSz w:w="11905" w:h="16838" w:orient="portrait"/>
          <w:pgMar w:top="607" w:right="850" w:bottom="811" w:left="1134" w:header="624" w:footer="992" w:gutter="0"/>
          <w:cols w:num="1" w:sep="0" w:space="1701" w:equalWidth="1"/>
          <w:docGrid w:linePitch="360"/>
        </w:sectPr>
      </w:pPr>
      <w:r>
        <w:rPr>
          <w:rFonts w:hint="eastAsia" w:ascii="宋体" w:hAnsi="宋体" w:eastAsia="宋体" w:cs="黑体"/>
          <w:b/>
          <w:color w:val="auto"/>
          <w:sz w:val="32"/>
          <w:szCs w:val="32"/>
          <w:highlight w:val="none"/>
        </w:rPr>
      </w:r>
      <w:r/>
    </w:p>
    <w:p>
      <w:pPr>
        <w:jc w:val="center"/>
        <w:spacing w:before="50" w:after="50"/>
        <w:widowControl/>
        <w:rPr>
          <w:rFonts w:ascii="宋体" w:hAnsi="宋体" w:eastAsia="宋体" w:cs="黑体"/>
          <w:b/>
          <w:color w:val="auto"/>
          <w:sz w:val="32"/>
          <w:szCs w:val="32"/>
          <w:highlight w:val="none"/>
        </w:rPr>
      </w:pPr>
      <w:r>
        <w:rPr>
          <w:rFonts w:hint="eastAsia" w:ascii="宋体" w:hAnsi="宋体" w:eastAsia="宋体" w:cs="黑体"/>
          <w:b/>
          <w:color w:val="auto"/>
          <w:sz w:val="32"/>
          <w:szCs w:val="32"/>
          <w:highlight w:val="none"/>
        </w:rPr>
        <w:t xml:space="preserve">十</w:t>
      </w:r>
      <w:r>
        <w:rPr>
          <w:rFonts w:hint="eastAsia" w:ascii="宋体" w:hAnsi="宋体" w:eastAsia="宋体" w:cs="黑体"/>
          <w:b/>
          <w:color w:val="auto"/>
          <w:sz w:val="32"/>
          <w:szCs w:val="32"/>
          <w:highlight w:val="none"/>
        </w:rPr>
        <w:t xml:space="preserve">六</w:t>
      </w:r>
      <w:r>
        <w:rPr>
          <w:rFonts w:hint="eastAsia" w:ascii="宋体" w:hAnsi="宋体" w:eastAsia="宋体" w:cs="黑体"/>
          <w:b/>
          <w:color w:val="auto"/>
          <w:sz w:val="32"/>
          <w:szCs w:val="32"/>
          <w:highlight w:val="none"/>
        </w:rPr>
        <w:t xml:space="preserve">、</w:t>
      </w:r>
      <w:bookmarkStart w:id="154" w:name="OLE_LINK4"/>
      <w:r>
        <w:rPr>
          <w:rFonts w:hint="eastAsia" w:ascii="宋体" w:hAnsi="宋体" w:eastAsia="宋体" w:cs="黑体"/>
          <w:b/>
          <w:color w:val="auto"/>
          <w:sz w:val="32"/>
          <w:szCs w:val="32"/>
          <w:highlight w:val="none"/>
        </w:rPr>
        <w:t xml:space="preserve">盐城市政府采购事前信用承诺书</w:t>
      </w:r>
      <w:bookmarkEnd w:id="154"/>
      <w:r/>
      <w:r/>
    </w:p>
    <w:p>
      <w:pPr>
        <w:ind w:firstLine="480"/>
        <w:keepLines w:val="0"/>
        <w:keepNext w:val="0"/>
        <w:pageBreakBefore w:val="0"/>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keepLines w:val="0"/>
        <w:keepNext w:val="0"/>
        <w:pageBreakBefore w:val="0"/>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keepLines w:val="0"/>
        <w:keepNext w:val="0"/>
        <w:pageBreakBefore w:val="0"/>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keepLines w:val="0"/>
        <w:keepNext w:val="0"/>
        <w:pageBreakBefore w:val="0"/>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keepLines w:val="0"/>
        <w:keepNext w:val="0"/>
        <w:pageBreakBefore w:val="0"/>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（四）严格遵守即时信息公示规定，及时维护和更新盐城市政府采购网中与本单位相关的信息；</w:t>
      </w:r>
      <w:r/>
    </w:p>
    <w:p>
      <w:pPr>
        <w:ind w:firstLine="480"/>
        <w:keepLines w:val="0"/>
        <w:keepNext w:val="0"/>
        <w:pageBreakBefore w:val="0"/>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keepLines w:val="0"/>
        <w:keepNext w:val="0"/>
        <w:pageBreakBefore w:val="0"/>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keepLines w:val="0"/>
        <w:keepNext w:val="0"/>
        <w:pageBreakBefore w:val="0"/>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keepLines w:val="0"/>
        <w:keepNext w:val="0"/>
        <w:pageBreakBefore w:val="0"/>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keepLines w:val="0"/>
        <w:keepNext w:val="0"/>
        <w:pageBreakBefore w:val="0"/>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80"/>
        <w:jc w:val="left"/>
        <w:keepLines w:val="0"/>
        <w:keepNext w:val="0"/>
        <w:pageBreakBefore w:val="0"/>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keepLines w:val="0"/>
        <w:keepNext w:val="0"/>
        <w:pageBreakBefore w:val="0"/>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keepLines w:val="0"/>
        <w:keepNext w:val="0"/>
        <w:pageBreakBefore w:val="0"/>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987"/>
        <w:jc w:val="center"/>
        <w:spacing w:beforeAutospacing="0" w:afterAutospacing="0"/>
        <w:rPr>
          <w:rFonts w:ascii="宋体" w:hAnsi="宋体" w:eastAsia="宋体"/>
          <w:color w:val="auto"/>
          <w:highlight w:val="none"/>
        </w:rPr>
      </w:pPr>
      <w:r>
        <w:rPr>
          <w:rFonts w:ascii="宋体" w:hAnsi="宋体" w:eastAsia="宋体"/>
          <w:color w:val="auto"/>
          <w:highlight w:val="none"/>
        </w:rPr>
      </w:r>
      <w:r/>
    </w:p>
    <w:p>
      <w:pPr>
        <w:pStyle w:val="987"/>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磋商文件获取日期：</w:t>
      </w:r>
      <w:r>
        <w:rPr>
          <w:rFonts w:hint="eastAsia" w:ascii="宋体" w:hAnsi="宋体" w:eastAsia="宋体" w:cs="宋体"/>
          <w:color w:val="auto"/>
          <w:highlight w:val="none"/>
          <w:u w:val="single"/>
        </w:rPr>
        <w:t xml:space="preserve">                             </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987"/>
        <w:jc w:val="both"/>
        <w:spacing w:beforeAutospacing="0" w:afterAutospacing="0" w:line="28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987"/>
        <w:ind w:firstLine="480"/>
        <w:jc w:val="both"/>
        <w:keepLines w:val="0"/>
        <w:keepNext w:val="0"/>
        <w:pageBreakBefore w:val="0"/>
        <w:spacing w:before="0" w:beforeAutospacing="0" w:after="0" w:afterAutospacing="0" w:line="5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87"/>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rFonts w:ascii="宋体" w:hAnsi="宋体" w:eastAsia="宋体"/>
          <w:color w:val="auto"/>
          <w:highlight w:val="none"/>
        </w:rPr>
      </w:pPr>
      <w:r>
        <w:rPr>
          <w:rFonts w:ascii="宋体" w:hAnsi="宋体" w:eastAsia="宋体"/>
          <w:color w:val="auto"/>
          <w:highlight w:val="none"/>
        </w:rPr>
      </w:r>
      <w:r/>
    </w:p>
    <w:p>
      <w:pPr>
        <w:pStyle w:val="987"/>
        <w:ind w:firstLine="420"/>
        <w:jc w:val="both"/>
        <w:spacing w:beforeAutospacing="0" w:afterAutospacing="0"/>
        <w:rPr>
          <w:rFonts w:ascii="宋体" w:hAnsi="宋体" w:eastAsia="宋体"/>
          <w:color w:val="auto"/>
          <w:highlight w:val="none"/>
        </w:rPr>
      </w:pPr>
      <w:r>
        <w:rPr>
          <w:rFonts w:ascii="宋体" w:hAnsi="宋体" w:eastAsia="宋体"/>
          <w:color w:val="auto"/>
          <w:highlight w:val="none"/>
        </w:rPr>
        <w:t xml:space="preserve"> </w:t>
      </w:r>
      <w:bookmarkEnd w:id="149"/>
      <w:r/>
      <w:bookmarkEnd w:id="150"/>
      <w:r/>
      <w:bookmarkEnd w:id="151"/>
      <w:r/>
      <w:bookmarkEnd w:id="152"/>
      <w:r/>
      <w:bookmarkEnd w:id="153"/>
      <w:r/>
      <w:r/>
    </w:p>
    <w:p>
      <w:pPr>
        <w:rPr>
          <w:rFonts w:ascii="宋体" w:hAnsi="宋体" w:eastAsia="宋体"/>
          <w:color w:val="auto"/>
          <w:highlight w:val="none"/>
        </w:rPr>
      </w:pPr>
      <w:r>
        <w:rPr>
          <w:rFonts w:ascii="宋体" w:hAnsi="宋体" w:eastAsia="宋体"/>
          <w:color w:val="auto"/>
          <w:highlight w:val="none"/>
        </w:rPr>
      </w:r>
      <w:r/>
    </w:p>
    <w:sectPr>
      <w:footnotePr/>
      <w:endnotePr/>
      <w:type w:val="nextPage"/>
      <w:pgSz w:w="11905" w:h="16838" w:orient="portrait"/>
      <w:pgMar w:top="607" w:right="850" w:bottom="811" w:left="1134" w:header="62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Showcard Gothic">
    <w:panose1 w:val="04020904020102020604"/>
  </w:font>
  <w:font w:name="Symbol">
    <w:panose1 w:val="05050102010706020507"/>
  </w:font>
  <w:font w:name="Wingdings">
    <w:panose1 w:val="05000000000000000000"/>
  </w:font>
  <w:font w:name="Tahoma">
    <w:panose1 w:val="020B0604030504040204"/>
  </w:font>
  <w:font w:name="Cambria">
    <w:panose1 w:val="02040503050406030204"/>
  </w:font>
  <w:font w:name="Calibri">
    <w:panose1 w:val="020F0502020204030204"/>
  </w:font>
  <w:font w:name="等线">
    <w:panose1 w:val="02010600030101010101"/>
  </w:font>
  <w:font w:name="等线 Light">
    <w:panose1 w:val="02010600030101010101"/>
  </w:font>
  <w:font w:name="仿宋">
    <w:panose1 w:val="02010609060101010101"/>
  </w:font>
  <w:font w:name="黑体">
    <w:panose1 w:val="02010609060101010101"/>
  </w:font>
  <w:font w:name="仿宋_GB2312">
    <w:panose1 w:val="02010609060101010101"/>
  </w:font>
  <w:font w:name="Courier New">
    <w:panose1 w:val="02070309020205020404"/>
  </w:font>
  <w:font w:name="Arial">
    <w:panose1 w:val="020B0604020202020204"/>
  </w:font>
  <w:font w:name="??_GB2312">
    <w:panose1 w:val="020B0503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54</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54</w:t>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t xml:space="preserve">第 </w:t>
                          </w:r>
                          <w:r>
                            <w:fldChar w:fldCharType="begin"/>
                          </w:r>
                          <w:r>
                            <w:instrText xml:space="preserve"> PAGE  \* MERGEFORMAT </w:instrText>
                          </w:r>
                          <w:r>
                            <w:fldChar w:fldCharType="separate"/>
                          </w:r>
                          <w:r>
                            <w:t xml:space="preserve">6</w:t>
                          </w:r>
                          <w:r>
                            <w:fldChar w:fldCharType="end"/>
                          </w:r>
                          <w:r>
                            <w:t xml:space="preserve"> 页 共 </w:t>
                          </w:r>
                          <w:r>
                            <w:rPr>
                              <w:rFonts w:hint="eastAsia"/>
                              <w:lang w:val="en-US" w:eastAsia="zh-CN"/>
                            </w:rPr>
                            <w:t xml:space="preserve">54</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t xml:space="preserve">第 </w:t>
                    </w:r>
                    <w:r>
                      <w:fldChar w:fldCharType="begin"/>
                    </w:r>
                    <w:r>
                      <w:instrText xml:space="preserve"> PAGE  \* MERGEFORMAT </w:instrText>
                    </w:r>
                    <w:r>
                      <w:fldChar w:fldCharType="separate"/>
                    </w:r>
                    <w:r>
                      <w:t xml:space="preserve">6</w:t>
                    </w:r>
                    <w:r>
                      <w:fldChar w:fldCharType="end"/>
                    </w:r>
                    <w:r>
                      <w:t xml:space="preserve"> 页 共 </w:t>
                    </w:r>
                    <w:r>
                      <w:rPr>
                        <w:rFonts w:hint="eastAsia"/>
                        <w:lang w:val="en-US" w:eastAsia="zh-CN"/>
                      </w:rPr>
                      <w:t xml:space="preserve">54</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t xml:space="preserve">第 </w:t>
                          </w:r>
                          <w:r>
                            <w:fldChar w:fldCharType="begin"/>
                          </w:r>
                          <w:r>
                            <w:instrText xml:space="preserve"> PAGE  \* MERGEFORMAT </w:instrText>
                          </w:r>
                          <w:r>
                            <w:fldChar w:fldCharType="separate"/>
                          </w:r>
                          <w:r>
                            <w:t xml:space="preserve">22</w:t>
                          </w:r>
                          <w:r>
                            <w:fldChar w:fldCharType="end"/>
                          </w:r>
                          <w:r>
                            <w:t xml:space="preserve"> 页 共 </w:t>
                          </w:r>
                          <w:r>
                            <w:rPr>
                              <w:rFonts w:hint="eastAsia"/>
                              <w:lang w:val="en-US" w:eastAsia="zh-CN"/>
                            </w:rPr>
                            <w:t xml:space="preserve">54</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t xml:space="preserve">第 </w:t>
                    </w:r>
                    <w:r>
                      <w:fldChar w:fldCharType="begin"/>
                    </w:r>
                    <w:r>
                      <w:instrText xml:space="preserve"> PAGE  \* MERGEFORMAT </w:instrText>
                    </w:r>
                    <w:r>
                      <w:fldChar w:fldCharType="separate"/>
                    </w:r>
                    <w:r>
                      <w:t xml:space="preserve">22</w:t>
                    </w:r>
                    <w:r>
                      <w:fldChar w:fldCharType="end"/>
                    </w:r>
                    <w:r>
                      <w:t xml:space="preserve"> 页 共 </w:t>
                    </w:r>
                    <w:r>
                      <w:rPr>
                        <w:rFonts w:hint="eastAsia"/>
                        <w:lang w:val="en-US" w:eastAsia="zh-CN"/>
                      </w:rPr>
                      <w:t xml:space="preserve">54</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32" w:hanging="432"/>
      </w:pPr>
      <w:rPr>
        <w:rFonts w:hint="eastAsia"/>
        <w:sz w:val="36"/>
        <w:szCs w:val="36"/>
      </w:rPr>
    </w:lvl>
    <w:lvl w:ilvl="1">
      <w:start w:val="1"/>
      <w:numFmt w:val="decimal"/>
      <w:isLgl w:val="false"/>
      <w:suff w:val="tab"/>
      <w:lvlText w:val="%1.%2"/>
      <w:lvlJc w:val="left"/>
      <w:pPr>
        <w:ind w:left="4545" w:hanging="576"/>
      </w:pPr>
      <w:rPr>
        <w:rFonts w:hint="eastAsia"/>
      </w:rPr>
    </w:lvl>
    <w:lvl w:ilvl="2">
      <w:start w:val="1"/>
      <w:numFmt w:val="decimal"/>
      <w:isLgl w:val="false"/>
      <w:suff w:val="tab"/>
      <w:lvlText w:val="%1.%2.%3"/>
      <w:lvlJc w:val="left"/>
      <w:pPr>
        <w:ind w:left="720" w:hanging="720"/>
      </w:pPr>
      <w:rPr>
        <w:rFonts w:hint="eastAsia"/>
        <w:b w:val="0"/>
        <w:i w:val="0"/>
      </w:rPr>
    </w:lvl>
    <w:lvl w:ilvl="3">
      <w:start w:val="1"/>
      <w:numFmt w:val="decimal"/>
      <w:isLgl w:val="false"/>
      <w:suff w:val="tab"/>
      <w:lvlText w:val="%1.%2.%3.%4"/>
      <w:lvlJc w:val="left"/>
      <w:pPr>
        <w:ind w:left="3557" w:hanging="864"/>
      </w:pPr>
      <w:rPr>
        <w:rFonts w:hint="eastAsia"/>
      </w:rPr>
    </w:lvl>
    <w:lvl w:ilvl="4">
      <w:start w:val="1"/>
      <w:numFmt w:val="decimal"/>
      <w:pStyle w:val="961"/>
      <w:isLgl w:val="false"/>
      <w:suff w:val="tab"/>
      <w:lvlText w:val="%1.%2.%3.%4.%5"/>
      <w:lvlJc w:val="left"/>
      <w:pPr>
        <w:ind w:left="1008" w:hanging="1008"/>
      </w:pPr>
      <w:rPr>
        <w:rFonts w:hint="eastAsia"/>
      </w:rPr>
    </w:lvl>
    <w:lvl w:ilvl="5">
      <w:start w:val="1"/>
      <w:numFmt w:val="decimal"/>
      <w:pStyle w:val="962"/>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link w:val="1032"/>
    <w:uiPriority w:val="0"/>
    <w:qFormat/>
    <w:pPr>
      <w:jc w:val="both"/>
      <w:widowControl w:val="off"/>
    </w:pPr>
    <w:rPr>
      <w:rFonts w:hint="default" w:ascii="Times New Roman" w:hAnsi="Times New Roman" w:eastAsia="宋体" w:cs="Times New Roman"/>
      <w:sz w:val="28"/>
      <w:szCs w:val="22"/>
      <w:lang w:val="en-US" w:eastAsia="zh-CN" w:bidi="ar-SA"/>
    </w:rPr>
  </w:style>
  <w:style w:type="paragraph" w:styleId="770">
    <w:name w:val="Heading 1"/>
    <w:basedOn w:val="769"/>
    <w:next w:val="769"/>
    <w:link w:val="810"/>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link w:val="811"/>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link w:val="812"/>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link w:val="813"/>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14"/>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69"/>
    <w:next w:val="769"/>
    <w:link w:val="815"/>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17"/>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18"/>
    <w:uiPriority w:val="9"/>
    <w:unhideWhenUsed/>
    <w:qFormat/>
    <w:pPr>
      <w:keepLines/>
      <w:keepNext/>
      <w:spacing w:before="320" w:after="200"/>
      <w:outlineLvl w:val="8"/>
    </w:pPr>
    <w:rPr>
      <w:rFonts w:ascii="Arial" w:hAnsi="Arial" w:eastAsia="Arial" w:cs="Arial"/>
      <w:i/>
      <w:iCs/>
      <w:sz w:val="21"/>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toc 7"/>
    <w:basedOn w:val="769"/>
    <w:next w:val="769"/>
    <w:uiPriority w:val="39"/>
    <w:unhideWhenUsed/>
    <w:qFormat/>
    <w:pPr>
      <w:ind w:left="1701" w:right="0" w:firstLine="0"/>
      <w:spacing w:after="57"/>
    </w:pPr>
  </w:style>
  <w:style w:type="paragraph" w:styleId="782">
    <w:name w:val="Caption"/>
    <w:basedOn w:val="769"/>
    <w:next w:val="7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Body Text Indent"/>
    <w:basedOn w:val="769"/>
    <w:next w:val="784"/>
    <w:uiPriority w:val="0"/>
    <w:qFormat/>
    <w:pPr>
      <w:ind w:left="420"/>
      <w:spacing w:after="120"/>
    </w:pPr>
  </w:style>
  <w:style w:type="paragraph" w:styleId="784">
    <w:name w:val="envelope return"/>
    <w:basedOn w:val="769"/>
    <w:uiPriority w:val="99"/>
    <w:qFormat/>
    <w:rPr>
      <w:rFonts w:ascii="Arial" w:hAnsi="Arial" w:cs="Arial"/>
    </w:rPr>
  </w:style>
  <w:style w:type="paragraph" w:styleId="785">
    <w:name w:val="toc 5"/>
    <w:basedOn w:val="769"/>
    <w:next w:val="769"/>
    <w:uiPriority w:val="39"/>
    <w:unhideWhenUsed/>
    <w:qFormat/>
    <w:pPr>
      <w:ind w:left="1134" w:right="0" w:firstLine="0"/>
      <w:spacing w:after="57"/>
    </w:pPr>
  </w:style>
  <w:style w:type="paragraph" w:styleId="786">
    <w:name w:val="toc 3"/>
    <w:basedOn w:val="769"/>
    <w:next w:val="769"/>
    <w:uiPriority w:val="39"/>
    <w:unhideWhenUsed/>
    <w:qFormat/>
    <w:pPr>
      <w:ind w:left="567" w:right="0" w:firstLine="0"/>
      <w:spacing w:after="57"/>
    </w:pPr>
  </w:style>
  <w:style w:type="paragraph" w:styleId="787">
    <w:name w:val="Plain Text"/>
    <w:basedOn w:val="769"/>
    <w:uiPriority w:val="0"/>
    <w:qFormat/>
    <w:rPr>
      <w:rFonts w:ascii="宋体" w:hAnsi="Courier New"/>
      <w:sz w:val="28"/>
    </w:rPr>
  </w:style>
  <w:style w:type="paragraph" w:styleId="788">
    <w:name w:val="toc 8"/>
    <w:basedOn w:val="769"/>
    <w:next w:val="769"/>
    <w:uiPriority w:val="39"/>
    <w:unhideWhenUsed/>
    <w:qFormat/>
    <w:pPr>
      <w:ind w:left="1984" w:right="0" w:firstLine="0"/>
      <w:spacing w:after="57"/>
    </w:pPr>
  </w:style>
  <w:style w:type="paragraph" w:styleId="789">
    <w:name w:val="Body Text Indent 2"/>
    <w:basedOn w:val="769"/>
    <w:uiPriority w:val="99"/>
    <w:qFormat/>
    <w:pPr>
      <w:ind w:left="420"/>
      <w:spacing w:after="120" w:line="480" w:lineRule="auto"/>
    </w:pPr>
  </w:style>
  <w:style w:type="paragraph" w:styleId="790">
    <w:name w:val="endnote text"/>
    <w:basedOn w:val="769"/>
    <w:link w:val="955"/>
    <w:uiPriority w:val="99"/>
    <w:semiHidden/>
    <w:unhideWhenUsed/>
    <w:qFormat/>
    <w:pPr>
      <w:spacing w:after="0" w:line="240" w:lineRule="auto"/>
    </w:pPr>
    <w:rPr>
      <w:sz w:val="20"/>
    </w:rPr>
  </w:style>
  <w:style w:type="paragraph" w:styleId="791">
    <w:name w:val="Footer"/>
    <w:basedOn w:val="769"/>
    <w:link w:val="828"/>
    <w:uiPriority w:val="99"/>
    <w:unhideWhenUsed/>
    <w:qFormat/>
    <w:pPr>
      <w:spacing w:after="0" w:line="240" w:lineRule="auto"/>
      <w:tabs>
        <w:tab w:val="center" w:pos="7143" w:leader="none"/>
        <w:tab w:val="right" w:pos="14287" w:leader="none"/>
      </w:tabs>
    </w:pPr>
  </w:style>
  <w:style w:type="paragraph" w:styleId="792">
    <w:name w:val="Header"/>
    <w:basedOn w:val="769"/>
    <w:link w:val="826"/>
    <w:uiPriority w:val="99"/>
    <w:unhideWhenUsed/>
    <w:qFormat/>
    <w:pPr>
      <w:spacing w:after="0" w:line="240" w:lineRule="auto"/>
      <w:tabs>
        <w:tab w:val="center" w:pos="7143" w:leader="none"/>
        <w:tab w:val="right" w:pos="14287" w:leader="none"/>
      </w:tabs>
    </w:pPr>
  </w:style>
  <w:style w:type="paragraph" w:styleId="793">
    <w:name w:val="toc 1"/>
    <w:basedOn w:val="769"/>
    <w:next w:val="769"/>
    <w:uiPriority w:val="39"/>
    <w:unhideWhenUsed/>
    <w:qFormat/>
    <w:pPr>
      <w:ind w:left="0" w:right="0" w:firstLine="0"/>
      <w:spacing w:after="57"/>
    </w:pPr>
  </w:style>
  <w:style w:type="paragraph" w:styleId="794">
    <w:name w:val="toc 4"/>
    <w:basedOn w:val="769"/>
    <w:next w:val="769"/>
    <w:uiPriority w:val="39"/>
    <w:unhideWhenUsed/>
    <w:qFormat/>
    <w:pPr>
      <w:ind w:left="850" w:right="0" w:firstLine="0"/>
      <w:spacing w:after="57"/>
    </w:pPr>
  </w:style>
  <w:style w:type="paragraph" w:styleId="795">
    <w:name w:val="Subtitle"/>
    <w:basedOn w:val="769"/>
    <w:next w:val="769"/>
    <w:link w:val="821"/>
    <w:uiPriority w:val="11"/>
    <w:qFormat/>
    <w:pPr>
      <w:spacing w:before="200" w:after="200"/>
    </w:pPr>
    <w:rPr>
      <w:sz w:val="24"/>
      <w:szCs w:val="24"/>
    </w:rPr>
  </w:style>
  <w:style w:type="paragraph" w:styleId="796">
    <w:name w:val="footnote text"/>
    <w:basedOn w:val="769"/>
    <w:link w:val="954"/>
    <w:uiPriority w:val="99"/>
    <w:semiHidden/>
    <w:unhideWhenUsed/>
    <w:qFormat/>
    <w:pPr>
      <w:spacing w:after="40" w:line="240" w:lineRule="auto"/>
    </w:pPr>
    <w:rPr>
      <w:sz w:val="18"/>
    </w:rPr>
  </w:style>
  <w:style w:type="paragraph" w:styleId="797">
    <w:name w:val="toc 6"/>
    <w:basedOn w:val="769"/>
    <w:next w:val="769"/>
    <w:uiPriority w:val="39"/>
    <w:unhideWhenUsed/>
    <w:qFormat/>
    <w:pPr>
      <w:ind w:left="1417" w:right="0" w:firstLine="0"/>
      <w:spacing w:after="57"/>
    </w:pPr>
  </w:style>
  <w:style w:type="paragraph" w:styleId="798">
    <w:name w:val="table of figures"/>
    <w:basedOn w:val="769"/>
    <w:next w:val="769"/>
    <w:uiPriority w:val="99"/>
    <w:unhideWhenUsed/>
    <w:qFormat/>
    <w:pPr>
      <w:spacing w:after="0" w:afterAutospacing="0"/>
    </w:pPr>
  </w:style>
  <w:style w:type="paragraph" w:styleId="799">
    <w:name w:val="toc 2"/>
    <w:basedOn w:val="769"/>
    <w:next w:val="769"/>
    <w:uiPriority w:val="39"/>
    <w:unhideWhenUsed/>
    <w:qFormat/>
    <w:pPr>
      <w:ind w:left="283" w:right="0" w:firstLine="0"/>
      <w:spacing w:after="57"/>
    </w:pPr>
  </w:style>
  <w:style w:type="paragraph" w:styleId="800">
    <w:name w:val="toc 9"/>
    <w:basedOn w:val="769"/>
    <w:next w:val="769"/>
    <w:uiPriority w:val="39"/>
    <w:unhideWhenUsed/>
    <w:qFormat/>
    <w:pPr>
      <w:ind w:left="2268" w:right="0" w:firstLine="0"/>
      <w:spacing w:after="57"/>
    </w:pPr>
  </w:style>
  <w:style w:type="paragraph" w:styleId="801">
    <w:name w:val="Title"/>
    <w:basedOn w:val="769"/>
    <w:next w:val="769"/>
    <w:link w:val="820"/>
    <w:uiPriority w:val="10"/>
    <w:qFormat/>
    <w:pPr>
      <w:contextualSpacing/>
      <w:spacing w:before="300" w:after="200"/>
    </w:pPr>
    <w:rPr>
      <w:sz w:val="48"/>
      <w:szCs w:val="48"/>
    </w:rPr>
  </w:style>
  <w:style w:type="paragraph" w:styleId="802">
    <w:name w:val="Body Text First Indent"/>
    <w:basedOn w:val="769"/>
    <w:uiPriority w:val="99"/>
    <w:qFormat/>
    <w:pPr>
      <w:ind w:firstLine="200"/>
      <w:spacing w:line="360" w:lineRule="auto"/>
    </w:pPr>
    <w:rPr>
      <w:rFonts w:ascii="仿宋_GB2312" w:eastAsia="仿宋_GB2312"/>
      <w:sz w:val="30"/>
      <w:szCs w:val="30"/>
    </w:rPr>
  </w:style>
  <w:style w:type="paragraph" w:styleId="803">
    <w:name w:val="Body Text First Indent 2"/>
    <w:basedOn w:val="783"/>
    <w:next w:val="769"/>
    <w:uiPriority w:val="0"/>
    <w:qFormat/>
    <w:pPr>
      <w:ind w:firstLine="420"/>
    </w:pPr>
  </w:style>
  <w:style w:type="table" w:styleId="8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Strong"/>
    <w:basedOn w:val="779"/>
    <w:uiPriority w:val="22"/>
    <w:qFormat/>
    <w:rPr>
      <w:b/>
    </w:rPr>
  </w:style>
  <w:style w:type="character" w:styleId="806">
    <w:name w:val="endnote reference"/>
    <w:uiPriority w:val="99"/>
    <w:semiHidden/>
    <w:unhideWhenUsed/>
    <w:qFormat/>
    <w:rPr>
      <w:vertAlign w:val="superscript"/>
    </w:rPr>
  </w:style>
  <w:style w:type="character" w:styleId="807">
    <w:name w:val="Hyperlink"/>
    <w:uiPriority w:val="99"/>
    <w:unhideWhenUsed/>
    <w:qFormat/>
    <w:rPr>
      <w:color w:val="0000ff" w:themeColor="hyperlink"/>
      <w:u w:val="single"/>
      <w14:textFill>
        <w14:solidFill>
          <w14:schemeClr w14:val="hlink"/>
        </w14:solidFill>
      </w14:textFill>
    </w:rPr>
  </w:style>
  <w:style w:type="character" w:styleId="808">
    <w:name w:val="footnote reference"/>
    <w:uiPriority w:val="99"/>
    <w:unhideWhenUsed/>
    <w:qFormat/>
    <w:rPr>
      <w:vertAlign w:val="superscript"/>
    </w:rPr>
  </w:style>
  <w:style w:type="paragraph" w:styleId="809" w:customStyle="1">
    <w:name w:val="Default"/>
    <w:uiPriority w:val="99"/>
    <w:qFormat/>
    <w:pPr>
      <w:widowControl w:val="off"/>
    </w:pPr>
    <w:rPr>
      <w:rFonts w:hint="default" w:ascii="等线" w:hAnsi="等线" w:eastAsia="宋体" w:cs="Times New Roman"/>
      <w:color w:val="000000"/>
      <w:sz w:val="24"/>
      <w:szCs w:val="24"/>
      <w:lang w:val="en-US" w:eastAsia="zh-CN" w:bidi="ar-SA"/>
    </w:rPr>
  </w:style>
  <w:style w:type="character" w:styleId="810" w:customStyle="1">
    <w:name w:val="Heading 1 Char"/>
    <w:link w:val="770"/>
    <w:uiPriority w:val="9"/>
    <w:qFormat/>
    <w:rPr>
      <w:rFonts w:ascii="Arial" w:hAnsi="Arial" w:eastAsia="Arial" w:cs="Arial"/>
      <w:sz w:val="40"/>
      <w:szCs w:val="40"/>
    </w:rPr>
  </w:style>
  <w:style w:type="character" w:styleId="811" w:customStyle="1">
    <w:name w:val="Heading 2 Char"/>
    <w:link w:val="771"/>
    <w:uiPriority w:val="9"/>
    <w:qFormat/>
    <w:rPr>
      <w:rFonts w:ascii="Arial" w:hAnsi="Arial" w:eastAsia="Arial" w:cs="Arial"/>
      <w:sz w:val="34"/>
    </w:rPr>
  </w:style>
  <w:style w:type="character" w:styleId="812" w:customStyle="1">
    <w:name w:val="Heading 3 Char"/>
    <w:link w:val="772"/>
    <w:uiPriority w:val="9"/>
    <w:qFormat/>
    <w:rPr>
      <w:rFonts w:ascii="Arial" w:hAnsi="Arial" w:eastAsia="Arial" w:cs="Arial"/>
      <w:sz w:val="30"/>
      <w:szCs w:val="30"/>
    </w:rPr>
  </w:style>
  <w:style w:type="character" w:styleId="813" w:customStyle="1">
    <w:name w:val="Heading 4 Char"/>
    <w:link w:val="773"/>
    <w:uiPriority w:val="9"/>
    <w:qFormat/>
    <w:rPr>
      <w:rFonts w:ascii="Arial" w:hAnsi="Arial" w:eastAsia="Arial" w:cs="Arial"/>
      <w:b/>
      <w:bCs/>
      <w:sz w:val="26"/>
      <w:szCs w:val="26"/>
    </w:rPr>
  </w:style>
  <w:style w:type="character" w:styleId="814" w:customStyle="1">
    <w:name w:val="Heading 5 Char"/>
    <w:link w:val="774"/>
    <w:uiPriority w:val="9"/>
    <w:qFormat/>
    <w:rPr>
      <w:rFonts w:ascii="Arial" w:hAnsi="Arial" w:eastAsia="Arial" w:cs="Arial"/>
      <w:b/>
      <w:bCs/>
      <w:sz w:val="24"/>
      <w:szCs w:val="24"/>
    </w:rPr>
  </w:style>
  <w:style w:type="character" w:styleId="815" w:customStyle="1">
    <w:name w:val="Heading 6 Char"/>
    <w:link w:val="775"/>
    <w:uiPriority w:val="9"/>
    <w:qFormat/>
    <w:rPr>
      <w:rFonts w:ascii="Arial" w:hAnsi="Arial" w:eastAsia="Arial" w:cs="Arial"/>
      <w:b/>
      <w:bCs/>
      <w:sz w:val="22"/>
      <w:szCs w:val="22"/>
    </w:rPr>
  </w:style>
  <w:style w:type="character" w:styleId="816" w:customStyle="1">
    <w:name w:val="Heading 7 Char"/>
    <w:link w:val="776"/>
    <w:uiPriority w:val="9"/>
    <w:qFormat/>
    <w:rPr>
      <w:rFonts w:ascii="Arial" w:hAnsi="Arial" w:eastAsia="Arial" w:cs="Arial"/>
      <w:b/>
      <w:bCs/>
      <w:i/>
      <w:iCs/>
      <w:sz w:val="22"/>
      <w:szCs w:val="22"/>
    </w:rPr>
  </w:style>
  <w:style w:type="character" w:styleId="817" w:customStyle="1">
    <w:name w:val="Heading 8 Char"/>
    <w:link w:val="777"/>
    <w:uiPriority w:val="9"/>
    <w:qFormat/>
    <w:rPr>
      <w:rFonts w:ascii="Arial" w:hAnsi="Arial" w:eastAsia="Arial" w:cs="Arial"/>
      <w:i/>
      <w:iCs/>
      <w:sz w:val="22"/>
      <w:szCs w:val="22"/>
    </w:rPr>
  </w:style>
  <w:style w:type="character" w:styleId="818" w:customStyle="1">
    <w:name w:val="Heading 9 Char"/>
    <w:link w:val="778"/>
    <w:uiPriority w:val="9"/>
    <w:qFormat/>
    <w:rPr>
      <w:rFonts w:ascii="Arial" w:hAnsi="Arial" w:eastAsia="Arial" w:cs="Arial"/>
      <w:i/>
      <w:iCs/>
      <w:sz w:val="21"/>
      <w:szCs w:val="21"/>
    </w:rPr>
  </w:style>
  <w:style w:type="paragraph" w:styleId="819">
    <w:name w:val="No Spacing"/>
    <w:uiPriority w:val="1"/>
    <w:qFormat/>
    <w:pPr>
      <w:spacing w:before="0" w:after="0" w:line="240" w:lineRule="auto"/>
    </w:pPr>
    <w:rPr>
      <w:rFonts w:hint="default" w:ascii="Times New Roman" w:hAnsi="Times New Roman" w:eastAsia="宋体" w:cs="Times New Roman"/>
    </w:rPr>
  </w:style>
  <w:style w:type="character" w:styleId="820" w:customStyle="1">
    <w:name w:val="Title Char"/>
    <w:link w:val="801"/>
    <w:uiPriority w:val="10"/>
    <w:qFormat/>
    <w:rPr>
      <w:sz w:val="48"/>
      <w:szCs w:val="48"/>
    </w:rPr>
  </w:style>
  <w:style w:type="character" w:styleId="821" w:customStyle="1">
    <w:name w:val="Subtitle Char"/>
    <w:link w:val="795"/>
    <w:uiPriority w:val="11"/>
    <w:qFormat/>
    <w:rPr>
      <w:sz w:val="24"/>
      <w:szCs w:val="24"/>
    </w:rPr>
  </w:style>
  <w:style w:type="paragraph" w:styleId="822">
    <w:name w:val="Quote"/>
    <w:basedOn w:val="769"/>
    <w:next w:val="769"/>
    <w:link w:val="823"/>
    <w:uiPriority w:val="29"/>
    <w:qFormat/>
    <w:pPr>
      <w:ind w:left="720" w:right="720"/>
    </w:pPr>
    <w:rPr>
      <w:i/>
    </w:rPr>
  </w:style>
  <w:style w:type="character" w:styleId="823" w:customStyle="1">
    <w:name w:val="Quote Char"/>
    <w:link w:val="822"/>
    <w:uiPriority w:val="29"/>
    <w:qFormat/>
    <w:rPr>
      <w:i/>
    </w:rPr>
  </w:style>
  <w:style w:type="paragraph" w:styleId="824">
    <w:name w:val="Intense Quote"/>
    <w:basedOn w:val="769"/>
    <w:next w:val="769"/>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Intense Quote Char"/>
    <w:link w:val="824"/>
    <w:uiPriority w:val="30"/>
    <w:qFormat/>
    <w:rPr>
      <w:i/>
    </w:rPr>
  </w:style>
  <w:style w:type="character" w:styleId="826" w:customStyle="1">
    <w:name w:val="Header Char"/>
    <w:link w:val="792"/>
    <w:uiPriority w:val="99"/>
    <w:qFormat/>
  </w:style>
  <w:style w:type="character" w:styleId="827" w:customStyle="1">
    <w:name w:val="Footer Char"/>
    <w:link w:val="791"/>
    <w:uiPriority w:val="99"/>
    <w:qFormat/>
  </w:style>
  <w:style w:type="character" w:styleId="828" w:customStyle="1">
    <w:name w:val="Caption Char"/>
    <w:link w:val="791"/>
    <w:uiPriority w:val="99"/>
    <w:qFormat/>
  </w:style>
  <w:style w:type="table" w:styleId="8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2"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1"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2"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4"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6"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0"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Footnote Text Char"/>
    <w:link w:val="796"/>
    <w:uiPriority w:val="99"/>
    <w:qFormat/>
    <w:rPr>
      <w:sz w:val="18"/>
    </w:rPr>
  </w:style>
  <w:style w:type="character" w:styleId="955" w:customStyle="1">
    <w:name w:val="Endnote Text Char"/>
    <w:link w:val="790"/>
    <w:uiPriority w:val="99"/>
    <w:qFormat/>
    <w:rPr>
      <w:sz w:val="20"/>
    </w:rPr>
  </w:style>
  <w:style w:type="paragraph" w:styleId="956" w:customStyle="1">
    <w:name w:val="TOC Heading"/>
    <w:uiPriority w:val="39"/>
    <w:unhideWhenUsed/>
    <w:qFormat/>
    <w:rPr>
      <w:rFonts w:hint="default" w:ascii="Times New Roman" w:hAnsi="Times New Roman" w:eastAsia="宋体" w:cs="Times New Roman"/>
    </w:rPr>
  </w:style>
  <w:style w:type="paragraph" w:styleId="957" w:customStyle="1">
    <w:name w:val="标题 11"/>
    <w:basedOn w:val="769"/>
    <w:next w:val="769"/>
    <w:uiPriority w:val="0"/>
    <w:qFormat/>
    <w:pPr>
      <w:keepLines/>
      <w:keepNext/>
      <w:spacing w:before="340" w:after="330" w:line="578" w:lineRule="auto"/>
      <w:outlineLvl w:val="0"/>
    </w:pPr>
    <w:rPr>
      <w:b/>
      <w:bCs/>
      <w:sz w:val="44"/>
      <w:szCs w:val="44"/>
    </w:rPr>
  </w:style>
  <w:style w:type="paragraph" w:styleId="958" w:customStyle="1">
    <w:name w:val="标题 21"/>
    <w:basedOn w:val="769"/>
    <w:next w:val="769"/>
    <w:uiPriority w:val="0"/>
    <w:qFormat/>
    <w:pPr>
      <w:jc w:val="center"/>
      <w:keepLines/>
      <w:keepNext/>
      <w:spacing w:before="120" w:line="300" w:lineRule="auto"/>
      <w:outlineLvl w:val="1"/>
    </w:pPr>
    <w:rPr>
      <w:rFonts w:ascii="Arial" w:hAnsi="Arial" w:eastAsia="黑体"/>
      <w:b/>
      <w:sz w:val="30"/>
    </w:rPr>
  </w:style>
  <w:style w:type="paragraph" w:styleId="959" w:customStyle="1">
    <w:name w:val="标题 31"/>
    <w:basedOn w:val="769"/>
    <w:next w:val="769"/>
    <w:link w:val="965"/>
    <w:uiPriority w:val="9"/>
    <w:qFormat/>
    <w:pPr>
      <w:ind w:firstLine="137"/>
      <w:keepLines/>
      <w:keepNext/>
      <w:spacing w:line="415" w:lineRule="auto"/>
      <w:outlineLvl w:val="2"/>
    </w:pPr>
    <w:rPr>
      <w:rFonts w:ascii="Calibri" w:hAnsi="Calibri"/>
      <w:b/>
      <w:bCs/>
      <w:sz w:val="32"/>
      <w:szCs w:val="32"/>
    </w:rPr>
  </w:style>
  <w:style w:type="paragraph" w:styleId="960" w:customStyle="1">
    <w:name w:val="标题 411"/>
    <w:basedOn w:val="769"/>
    <w:next w:val="769"/>
    <w:uiPriority w:val="0"/>
    <w:qFormat/>
    <w:pPr>
      <w:keepLines/>
      <w:keepNext/>
      <w:spacing w:before="280" w:after="290" w:line="376" w:lineRule="auto"/>
      <w:outlineLvl w:val="3"/>
    </w:pPr>
    <w:rPr>
      <w:rFonts w:ascii="Arial" w:hAnsi="Arial" w:eastAsia="黑体" w:cs="Arial"/>
      <w:b/>
      <w:bCs/>
      <w:szCs w:val="28"/>
    </w:rPr>
  </w:style>
  <w:style w:type="paragraph" w:styleId="961" w:customStyle="1">
    <w:name w:val="标题 51"/>
    <w:basedOn w:val="769"/>
    <w:next w:val="769"/>
    <w:uiPriority w:val="9"/>
    <w:qFormat/>
    <w:pPr>
      <w:numPr>
        <w:ilvl w:val="4"/>
        <w:numId w:val="1"/>
      </w:numPr>
      <w:keepLines/>
      <w:keepNext/>
      <w:spacing w:before="280" w:after="290" w:line="376" w:lineRule="auto"/>
      <w:outlineLvl w:val="4"/>
    </w:pPr>
    <w:rPr>
      <w:b/>
      <w:bCs/>
      <w:szCs w:val="28"/>
    </w:rPr>
  </w:style>
  <w:style w:type="paragraph" w:styleId="962" w:customStyle="1">
    <w:name w:val="标题 61"/>
    <w:basedOn w:val="769"/>
    <w:next w:val="769"/>
    <w:uiPriority w:val="9"/>
    <w:qFormat/>
    <w:pPr>
      <w:numPr>
        <w:ilvl w:val="5"/>
        <w:numId w:val="1"/>
      </w:numPr>
      <w:keepLines/>
      <w:keepNext/>
      <w:spacing w:before="240" w:after="64" w:line="320" w:lineRule="auto"/>
      <w:outlineLvl w:val="5"/>
    </w:pPr>
    <w:rPr>
      <w:rFonts w:ascii="Cambria" w:hAnsi="Cambria" w:eastAsia="宋体" w:cs="Times New Roman"/>
      <w:b/>
      <w:bCs/>
      <w:szCs w:val="24"/>
    </w:rPr>
  </w:style>
  <w:style w:type="character" w:styleId="963" w:customStyle="1">
    <w:name w:val="默认段落字体1"/>
    <w:link w:val="769"/>
    <w:uiPriority w:val="99"/>
    <w:semiHidden/>
    <w:qFormat/>
  </w:style>
  <w:style w:type="table" w:styleId="964" w:customStyle="1">
    <w:name w:val="普通表格1"/>
    <w:uiPriority w:val="99"/>
    <w:unhideWhenUsed/>
    <w:qFormat/>
    <w:tblPr/>
  </w:style>
  <w:style w:type="character" w:styleId="965" w:customStyle="1">
    <w:name w:val="标题 3 Char"/>
    <w:link w:val="959"/>
    <w:uiPriority w:val="9"/>
    <w:semiHidden/>
    <w:qFormat/>
    <w:rPr>
      <w:rFonts w:ascii="Calibri" w:hAnsi="Calibri"/>
      <w:b/>
      <w:bCs/>
      <w:sz w:val="32"/>
      <w:szCs w:val="32"/>
    </w:rPr>
  </w:style>
  <w:style w:type="paragraph" w:styleId="966" w:customStyle="1">
    <w:name w:val="正文缩进1"/>
    <w:basedOn w:val="769"/>
    <w:uiPriority w:val="99"/>
    <w:unhideWhenUsed/>
    <w:qFormat/>
    <w:pPr>
      <w:ind w:firstLine="420"/>
      <w:jc w:val="left"/>
    </w:pPr>
    <w:rPr>
      <w:rFonts w:ascii="宋体"/>
      <w:sz w:val="24"/>
    </w:rPr>
  </w:style>
  <w:style w:type="paragraph" w:styleId="967" w:customStyle="1">
    <w:name w:val="正文文本1"/>
    <w:basedOn w:val="769"/>
    <w:next w:val="769"/>
    <w:uiPriority w:val="0"/>
    <w:qFormat/>
    <w:pPr>
      <w:spacing w:after="120"/>
    </w:pPr>
  </w:style>
  <w:style w:type="paragraph" w:styleId="968" w:customStyle="1">
    <w:name w:val="正文文本缩进11"/>
    <w:basedOn w:val="769"/>
    <w:next w:val="969"/>
    <w:link w:val="970"/>
    <w:uiPriority w:val="99"/>
    <w:qFormat/>
    <w:pPr>
      <w:ind w:firstLine="600"/>
      <w:spacing w:line="360" w:lineRule="auto"/>
    </w:pPr>
    <w:rPr>
      <w:rFonts w:ascii="Calibri" w:hAnsi="Calibri"/>
      <w:szCs w:val="20"/>
    </w:rPr>
  </w:style>
  <w:style w:type="paragraph" w:styleId="969" w:customStyle="1">
    <w:name w:val="寄信人地址1"/>
    <w:basedOn w:val="769"/>
    <w:uiPriority w:val="0"/>
    <w:qFormat/>
    <w:rPr>
      <w:rFonts w:ascii="Arial" w:hAnsi="Arial" w:eastAsia="宋体" w:cs="Times New Roman"/>
    </w:rPr>
  </w:style>
  <w:style w:type="character" w:styleId="970" w:customStyle="1">
    <w:name w:val="正文文本缩进 Char"/>
    <w:link w:val="968"/>
    <w:uiPriority w:val="99"/>
    <w:semiHidden/>
    <w:qFormat/>
    <w:rPr>
      <w:rFonts w:ascii="Calibri" w:hAnsi="Calibri"/>
      <w:sz w:val="28"/>
    </w:rPr>
  </w:style>
  <w:style w:type="paragraph" w:styleId="971" w:customStyle="1">
    <w:name w:val="文本块1"/>
    <w:basedOn w:val="769"/>
    <w:uiPriority w:val="99"/>
    <w:qFormat/>
    <w:pPr>
      <w:ind w:left="1440" w:right="1440"/>
      <w:spacing w:after="120"/>
      <w:tabs>
        <w:tab w:val="left" w:pos="9000" w:leader="none"/>
      </w:tabs>
    </w:pPr>
  </w:style>
  <w:style w:type="paragraph" w:styleId="972" w:customStyle="1">
    <w:name w:val="索引 41"/>
    <w:basedOn w:val="769"/>
    <w:next w:val="769"/>
    <w:uiPriority w:val="0"/>
    <w:qFormat/>
    <w:pPr>
      <w:ind w:left="600"/>
    </w:pPr>
  </w:style>
  <w:style w:type="paragraph" w:styleId="973" w:customStyle="1">
    <w:name w:val="纯文本1"/>
    <w:basedOn w:val="769"/>
    <w:link w:val="974"/>
    <w:uiPriority w:val="99"/>
    <w:qFormat/>
    <w:rPr>
      <w:rFonts w:ascii="宋体" w:hAnsi="Courier New"/>
      <w:sz w:val="20"/>
      <w:szCs w:val="21"/>
    </w:rPr>
  </w:style>
  <w:style w:type="character" w:styleId="974" w:customStyle="1">
    <w:name w:val="纯文本 Char"/>
    <w:link w:val="973"/>
    <w:uiPriority w:val="99"/>
    <w:qFormat/>
    <w:rPr>
      <w:rFonts w:ascii="宋体" w:hAnsi="Courier New" w:cs="Courier New"/>
      <w:szCs w:val="21"/>
    </w:rPr>
  </w:style>
  <w:style w:type="paragraph" w:styleId="975" w:customStyle="1">
    <w:name w:val="日期1"/>
    <w:basedOn w:val="769"/>
    <w:next w:val="769"/>
    <w:link w:val="976"/>
    <w:uiPriority w:val="99"/>
    <w:qFormat/>
    <w:rPr>
      <w:rFonts w:ascii="Calibri" w:hAnsi="Calibri"/>
      <w:szCs w:val="20"/>
    </w:rPr>
  </w:style>
  <w:style w:type="character" w:styleId="976" w:customStyle="1">
    <w:name w:val="日期 Char"/>
    <w:link w:val="975"/>
    <w:uiPriority w:val="99"/>
    <w:semiHidden/>
    <w:qFormat/>
    <w:rPr>
      <w:rFonts w:ascii="Calibri" w:hAnsi="Calibri"/>
      <w:sz w:val="28"/>
    </w:rPr>
  </w:style>
  <w:style w:type="paragraph" w:styleId="977" w:customStyle="1">
    <w:name w:val="批注框文本1"/>
    <w:basedOn w:val="769"/>
    <w:link w:val="978"/>
    <w:uiPriority w:val="99"/>
    <w:unhideWhenUsed/>
    <w:qFormat/>
    <w:rPr>
      <w:sz w:val="18"/>
      <w:szCs w:val="18"/>
    </w:rPr>
  </w:style>
  <w:style w:type="character" w:styleId="978" w:customStyle="1">
    <w:name w:val="批注框文本 Char"/>
    <w:link w:val="977"/>
    <w:uiPriority w:val="99"/>
    <w:semiHidden/>
    <w:qFormat/>
    <w:rPr>
      <w:sz w:val="18"/>
      <w:szCs w:val="18"/>
    </w:rPr>
  </w:style>
  <w:style w:type="paragraph" w:styleId="979" w:customStyle="1">
    <w:name w:val="页脚1"/>
    <w:basedOn w:val="769"/>
    <w:link w:val="980"/>
    <w:uiPriority w:val="99"/>
    <w:qFormat/>
    <w:pPr>
      <w:jc w:val="left"/>
      <w:tabs>
        <w:tab w:val="center" w:pos="4153" w:leader="none"/>
        <w:tab w:val="right" w:pos="8306" w:leader="none"/>
      </w:tabs>
    </w:pPr>
    <w:rPr>
      <w:rFonts w:ascii="Calibri" w:hAnsi="Calibri"/>
      <w:sz w:val="18"/>
      <w:szCs w:val="18"/>
    </w:rPr>
  </w:style>
  <w:style w:type="character" w:styleId="980" w:customStyle="1">
    <w:name w:val="页脚 Char"/>
    <w:link w:val="979"/>
    <w:uiPriority w:val="99"/>
    <w:semiHidden/>
    <w:qFormat/>
    <w:rPr>
      <w:rFonts w:ascii="Calibri" w:hAnsi="Calibri"/>
      <w:sz w:val="18"/>
      <w:szCs w:val="18"/>
    </w:rPr>
  </w:style>
  <w:style w:type="paragraph" w:styleId="981" w:customStyle="1">
    <w:name w:val="页眉1"/>
    <w:basedOn w:val="769"/>
    <w:link w:val="982"/>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982" w:customStyle="1">
    <w:name w:val="页眉 Char"/>
    <w:link w:val="981"/>
    <w:uiPriority w:val="99"/>
    <w:semiHidden/>
    <w:qFormat/>
    <w:rPr>
      <w:rFonts w:ascii="Calibri" w:hAnsi="Calibri"/>
      <w:sz w:val="18"/>
      <w:szCs w:val="18"/>
    </w:rPr>
  </w:style>
  <w:style w:type="paragraph" w:styleId="983" w:customStyle="1">
    <w:name w:val="目录 11"/>
    <w:basedOn w:val="769"/>
    <w:next w:val="769"/>
    <w:uiPriority w:val="99"/>
    <w:qFormat/>
    <w:pPr>
      <w:ind w:firstLine="600"/>
      <w:spacing w:line="300" w:lineRule="auto"/>
      <w:tabs>
        <w:tab w:val="right" w:pos="9406" w:leader="dot"/>
      </w:tabs>
    </w:pPr>
    <w:rPr>
      <w:rFonts w:ascii="宋体" w:hAnsi="宋体"/>
      <w:bCs/>
      <w:color w:val="000000"/>
      <w:sz w:val="30"/>
    </w:rPr>
  </w:style>
  <w:style w:type="paragraph" w:styleId="984" w:customStyle="1">
    <w:name w:val="索引 91"/>
    <w:basedOn w:val="769"/>
    <w:next w:val="769"/>
    <w:uiPriority w:val="99"/>
    <w:unhideWhenUsed/>
    <w:qFormat/>
    <w:pPr>
      <w:ind w:left="1600"/>
    </w:pPr>
  </w:style>
  <w:style w:type="paragraph" w:styleId="985" w:customStyle="1">
    <w:name w:val="目录 21"/>
    <w:basedOn w:val="769"/>
    <w:next w:val="769"/>
    <w:uiPriority w:val="0"/>
    <w:semiHidden/>
    <w:qFormat/>
    <w:pPr>
      <w:ind w:left="420"/>
    </w:pPr>
  </w:style>
  <w:style w:type="paragraph" w:styleId="986" w:customStyle="1">
    <w:name w:val="信息标题1"/>
    <w:basedOn w:val="769"/>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987" w:customStyle="1">
    <w:name w:val="普通(网站)1"/>
    <w:basedOn w:val="769"/>
    <w:uiPriority w:val="0"/>
    <w:qFormat/>
    <w:pPr>
      <w:jc w:val="left"/>
      <w:spacing w:before="100" w:beforeAutospacing="1" w:after="100" w:afterAutospacing="1"/>
      <w:widowControl/>
    </w:pPr>
    <w:rPr>
      <w:rFonts w:ascii="宋体" w:hAnsi="宋体" w:cs="宋体"/>
      <w:sz w:val="24"/>
      <w:szCs w:val="24"/>
    </w:rPr>
  </w:style>
  <w:style w:type="paragraph" w:styleId="988" w:customStyle="1">
    <w:name w:val="正文首行缩进1"/>
    <w:basedOn w:val="769"/>
    <w:next w:val="769"/>
    <w:link w:val="989"/>
    <w:uiPriority w:val="0"/>
    <w:qFormat/>
    <w:pPr>
      <w:ind w:firstLine="420"/>
    </w:pPr>
    <w:rPr>
      <w:sz w:val="21"/>
      <w:szCs w:val="24"/>
    </w:rPr>
  </w:style>
  <w:style w:type="character" w:styleId="989" w:customStyle="1">
    <w:name w:val="正文首行缩进 Char"/>
    <w:link w:val="988"/>
    <w:uiPriority w:val="0"/>
    <w:qFormat/>
    <w:rPr>
      <w:rFonts w:eastAsia="宋体"/>
      <w:sz w:val="21"/>
      <w:szCs w:val="24"/>
      <w:lang w:val="en-US" w:eastAsia="zh-CN" w:bidi="ar-SA"/>
    </w:rPr>
  </w:style>
  <w:style w:type="paragraph" w:styleId="990" w:customStyle="1">
    <w:name w:val="正文首行缩进 211"/>
    <w:basedOn w:val="968"/>
    <w:next w:val="769"/>
    <w:uiPriority w:val="0"/>
    <w:qFormat/>
    <w:pPr>
      <w:ind w:left="420" w:firstLine="420"/>
      <w:spacing w:after="120" w:line="240" w:lineRule="auto"/>
    </w:pPr>
    <w:rPr>
      <w:rFonts w:ascii="Calibri" w:eastAsia="宋体"/>
      <w:sz w:val="28"/>
    </w:rPr>
  </w:style>
  <w:style w:type="table" w:styleId="991" w:customStyle="1">
    <w:name w:val="网格型1"/>
    <w:basedOn w:val="964"/>
    <w:uiPriority w:val="99"/>
    <w:qFormat/>
    <w:pPr>
      <w:jc w:val="both"/>
      <w:widowControl w:val="off"/>
    </w:pPr>
    <w:rPr>
      <w:sz w:val="20"/>
      <w:szCs w:val="20"/>
    </w:rPr>
    <w:tblPr/>
  </w:style>
  <w:style w:type="character" w:styleId="992" w:customStyle="1">
    <w:name w:val="要点1"/>
    <w:basedOn w:val="963"/>
    <w:link w:val="769"/>
    <w:uiPriority w:val="0"/>
    <w:qFormat/>
    <w:rPr>
      <w:b/>
    </w:rPr>
  </w:style>
  <w:style w:type="character" w:styleId="993" w:customStyle="1">
    <w:name w:val="页码1"/>
    <w:link w:val="769"/>
    <w:uiPriority w:val="99"/>
    <w:qFormat/>
    <w:rPr>
      <w:rFonts w:cs="Times New Roman"/>
    </w:rPr>
  </w:style>
  <w:style w:type="character" w:styleId="994" w:customStyle="1">
    <w:name w:val="超链接1"/>
    <w:link w:val="769"/>
    <w:uiPriority w:val="99"/>
    <w:qFormat/>
    <w:rPr>
      <w:rFonts w:cs="Times New Roman"/>
      <w:color w:val="0000ff"/>
      <w:u w:val="single"/>
    </w:rPr>
  </w:style>
  <w:style w:type="character" w:styleId="995" w:customStyle="1">
    <w:name w:val="批注引用1"/>
    <w:link w:val="769"/>
    <w:uiPriority w:val="0"/>
    <w:unhideWhenUsed/>
    <w:qFormat/>
    <w:rPr>
      <w:sz w:val="21"/>
      <w:szCs w:val="21"/>
    </w:rPr>
  </w:style>
  <w:style w:type="paragraph" w:styleId="996" w:customStyle="1">
    <w:name w:val="一级条标题"/>
    <w:basedOn w:val="997"/>
    <w:next w:val="99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7" w:customStyle="1">
    <w:name w:val="章标题"/>
    <w:next w:val="76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8" w:customStyle="1">
    <w:name w:val="段"/>
    <w:next w:val="999"/>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99" w:customStyle="1">
    <w:name w:val="正文 A"/>
    <w:next w:val="998"/>
    <w:uiPriority w:val="0"/>
    <w:qFormat/>
    <w:pPr>
      <w:jc w:val="both"/>
      <w:widowControl w:val="off"/>
    </w:pPr>
    <w:rPr>
      <w:rFonts w:hint="default" w:ascii="Times New Roman" w:hAnsi="Times New Roman" w:eastAsia="Calibri" w:cs="Calibri"/>
      <w:color w:val="000000"/>
      <w:sz w:val="21"/>
      <w:szCs w:val="21"/>
      <w:lang w:val="en-US" w:eastAsia="zh-CN" w:bidi="ar-SA"/>
    </w:rPr>
  </w:style>
  <w:style w:type="paragraph" w:styleId="1000" w:customStyle="1">
    <w:name w:val="标题 41"/>
    <w:basedOn w:val="769"/>
    <w:next w:val="769"/>
    <w:uiPriority w:val="0"/>
    <w:qFormat/>
    <w:pPr>
      <w:keepLines/>
      <w:keepNext/>
      <w:spacing w:before="280" w:after="290" w:line="374" w:lineRule="auto"/>
      <w:outlineLvl w:val="3"/>
    </w:pPr>
    <w:rPr>
      <w:rFonts w:ascii="Arial" w:hAnsi="Arial" w:eastAsia="黑体"/>
      <w:b/>
      <w:bCs/>
      <w:sz w:val="28"/>
      <w:szCs w:val="28"/>
    </w:rPr>
  </w:style>
  <w:style w:type="paragraph" w:styleId="1001" w:customStyle="1">
    <w:name w:val="p0"/>
    <w:basedOn w:val="769"/>
    <w:uiPriority w:val="0"/>
    <w:qFormat/>
    <w:pPr>
      <w:widowControl/>
    </w:pPr>
    <w:rPr>
      <w:sz w:val="21"/>
      <w:szCs w:val="21"/>
    </w:rPr>
  </w:style>
  <w:style w:type="character" w:styleId="1002" w:customStyle="1">
    <w:name w:val="列出段落 Char"/>
    <w:link w:val="1003"/>
    <w:uiPriority w:val="0"/>
    <w:qFormat/>
    <w:rPr>
      <w:rFonts w:ascii="Calibri" w:hAnsi="Calibri"/>
      <w:sz w:val="24"/>
      <w:szCs w:val="24"/>
      <w:lang w:eastAsia="en-US" w:bidi="en-US"/>
    </w:rPr>
  </w:style>
  <w:style w:type="paragraph" w:styleId="1003" w:customStyle="1">
    <w:name w:val="列出段落1"/>
    <w:basedOn w:val="769"/>
    <w:link w:val="1002"/>
    <w:uiPriority w:val="0"/>
    <w:qFormat/>
    <w:pPr>
      <w:contextualSpacing/>
      <w:ind w:left="720"/>
      <w:jc w:val="left"/>
      <w:widowControl/>
    </w:pPr>
    <w:rPr>
      <w:rFonts w:ascii="Calibri" w:hAnsi="Calibri"/>
      <w:sz w:val="24"/>
      <w:szCs w:val="24"/>
      <w:lang w:eastAsia="en-US" w:bidi="en-US"/>
    </w:rPr>
  </w:style>
  <w:style w:type="character" w:styleId="1004" w:customStyle="1">
    <w:name w:val=" Char Char"/>
    <w:link w:val="769"/>
    <w:uiPriority w:val="0"/>
    <w:qFormat/>
    <w:rPr>
      <w:rFonts w:ascii="宋体" w:hAnsi="Courier New" w:eastAsia="宋体" w:cs="Courier New"/>
      <w:sz w:val="21"/>
      <w:szCs w:val="21"/>
      <w:lang w:val="en-US" w:eastAsia="zh-CN" w:bidi="ar-SA"/>
    </w:rPr>
  </w:style>
  <w:style w:type="character" w:styleId="1005" w:customStyle="1">
    <w:name w:val="__正文 Char"/>
    <w:link w:val="769"/>
    <w:uiPriority w:val="0"/>
    <w:qFormat/>
    <w:rPr>
      <w:sz w:val="24"/>
      <w:szCs w:val="21"/>
      <w:lang w:val="en-US" w:eastAsia="zh-CN" w:bidi="ar-SA"/>
    </w:rPr>
  </w:style>
  <w:style w:type="character" w:styleId="1006" w:customStyle="1">
    <w:name w:val="apple-converted-space"/>
    <w:basedOn w:val="963"/>
    <w:link w:val="769"/>
    <w:uiPriority w:val="0"/>
    <w:qFormat/>
  </w:style>
  <w:style w:type="paragraph" w:styleId="1007" w:customStyle="1">
    <w:name w:val="(sun)正文一级"/>
    <w:basedOn w:val="769"/>
    <w:uiPriority w:val="0"/>
    <w:qFormat/>
    <w:pPr>
      <w:ind w:firstLine="480"/>
      <w:spacing w:after="120" w:line="360" w:lineRule="auto"/>
    </w:pPr>
    <w:rPr>
      <w:rFonts w:ascii="宋体" w:hAnsi="宋体" w:eastAsia="宋体" w:cs="Times New Roman"/>
      <w:szCs w:val="20"/>
      <w:lang w:val="zh-CN"/>
    </w:rPr>
  </w:style>
  <w:style w:type="paragraph" w:styleId="1008" w:customStyle="1">
    <w:name w:val="_正文段落"/>
    <w:basedOn w:val="769"/>
    <w:uiPriority w:val="0"/>
    <w:qFormat/>
    <w:pPr>
      <w:ind w:firstLine="200"/>
    </w:pPr>
    <w:rPr>
      <w:lang w:val="zh-CN"/>
    </w:rPr>
  </w:style>
  <w:style w:type="paragraph" w:styleId="1009" w:customStyle="1">
    <w:name w:val="2"/>
    <w:basedOn w:val="769"/>
    <w:uiPriority w:val="0"/>
    <w:qFormat/>
    <w:rPr>
      <w:rFonts w:ascii="Times New Roman" w:hAnsi="Times New Roman"/>
      <w:sz w:val="21"/>
      <w:szCs w:val="24"/>
    </w:rPr>
  </w:style>
  <w:style w:type="paragraph" w:styleId="1010" w:customStyle="1">
    <w:name w:val="Char"/>
    <w:basedOn w:val="769"/>
    <w:uiPriority w:val="0"/>
    <w:qFormat/>
    <w:pPr>
      <w:ind w:firstLine="200"/>
      <w:tabs>
        <w:tab w:val="left" w:pos="360" w:leader="none"/>
      </w:tabs>
    </w:pPr>
    <w:rPr>
      <w:rFonts w:ascii="Times New Roman" w:hAnsi="Times New Roman"/>
      <w:szCs w:val="30"/>
    </w:rPr>
  </w:style>
  <w:style w:type="paragraph" w:styleId="1011" w:customStyle="1">
    <w:name w:val="正文-产品"/>
    <w:basedOn w:val="769"/>
    <w:uiPriority w:val="0"/>
    <w:qFormat/>
    <w:pPr>
      <w:ind w:firstLine="132"/>
      <w:spacing w:line="300" w:lineRule="auto"/>
    </w:pPr>
    <w:rPr>
      <w:rFonts w:cs="Calibri"/>
      <w:sz w:val="24"/>
      <w:szCs w:val="24"/>
    </w:rPr>
  </w:style>
  <w:style w:type="paragraph" w:styleId="1012" w:customStyle="1">
    <w:name w:val="正文2"/>
    <w:basedOn w:val="769"/>
    <w:uiPriority w:val="0"/>
    <w:qFormat/>
    <w:pPr>
      <w:ind w:firstLine="200"/>
    </w:pPr>
    <w:rPr>
      <w:rFonts w:eastAsia="华文仿宋"/>
      <w:szCs w:val="28"/>
    </w:rPr>
  </w:style>
  <w:style w:type="paragraph" w:styleId="1013" w:customStyle="1">
    <w:name w:val="Body text|1"/>
    <w:basedOn w:val="769"/>
    <w:uiPriority w:val="0"/>
    <w:qFormat/>
    <w:pPr>
      <w:ind w:firstLine="400"/>
      <w:spacing w:line="480" w:lineRule="auto"/>
    </w:pPr>
    <w:rPr>
      <w:rFonts w:ascii="宋体" w:hAnsi="宋体" w:eastAsia="宋体" w:cs="宋体"/>
      <w:sz w:val="22"/>
      <w:lang w:val="zh-TW" w:eastAsia="zh-TW" w:bidi="zh-TW"/>
    </w:rPr>
  </w:style>
  <w:style w:type="paragraph" w:styleId="1014" w:customStyle="1">
    <w:name w:val="!正文"/>
    <w:basedOn w:val="769"/>
    <w:uiPriority w:val="0"/>
    <w:qFormat/>
    <w:pPr>
      <w:ind w:firstLine="200"/>
    </w:pPr>
    <w:rPr>
      <w:rFonts w:cs="Times New Roman"/>
      <w:sz w:val="28"/>
      <w:szCs w:val="21"/>
    </w:rPr>
  </w:style>
  <w:style w:type="paragraph" w:styleId="1015">
    <w:name w:val="List Paragraph"/>
    <w:basedOn w:val="769"/>
    <w:uiPriority w:val="0"/>
    <w:qFormat/>
    <w:pPr>
      <w:ind w:firstLine="420"/>
    </w:pPr>
    <w:rPr>
      <w:sz w:val="21"/>
    </w:rPr>
  </w:style>
  <w:style w:type="paragraph" w:styleId="1016" w:customStyle="1">
    <w:name w:val="普通正文"/>
    <w:basedOn w:val="769"/>
    <w:uiPriority w:val="99"/>
    <w:qFormat/>
    <w:pPr>
      <w:ind w:firstLine="480"/>
      <w:jc w:val="left"/>
      <w:spacing w:before="120" w:after="120" w:line="360" w:lineRule="auto"/>
    </w:pPr>
    <w:rPr>
      <w:rFonts w:ascii="Arial" w:hAnsi="Arial"/>
      <w:sz w:val="24"/>
      <w:szCs w:val="24"/>
    </w:rPr>
  </w:style>
  <w:style w:type="paragraph" w:styleId="1017" w:customStyle="1">
    <w:name w:val="_正文"/>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paragraph" w:styleId="1018" w:customStyle="1">
    <w:name w:val="TOC 标题"/>
    <w:basedOn w:val="957"/>
    <w:next w:val="769"/>
    <w:uiPriority w:val="0"/>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19" w:customStyle="1">
    <w:name w:val="Char1 Char Char Char1"/>
    <w:next w:val="990"/>
    <w:uiPriority w:val="0"/>
    <w:qFormat/>
    <w:pPr>
      <w:ind w:firstLine="200"/>
      <w:spacing w:line="360" w:lineRule="auto"/>
    </w:pPr>
    <w:rPr>
      <w:rFonts w:hint="default" w:ascii="Tahoma" w:hAnsi="Tahoma" w:eastAsia="宋体" w:cs="Tahoma"/>
      <w:sz w:val="24"/>
      <w:szCs w:val="24"/>
      <w:lang w:val="en-US" w:eastAsia="zh-CN" w:bidi="ar-SA"/>
    </w:rPr>
  </w:style>
  <w:style w:type="paragraph" w:styleId="1020" w:customStyle="1">
    <w:name w:val="正文空2格  1."/>
    <w:basedOn w:val="769"/>
    <w:uiPriority w:val="99"/>
    <w:qFormat/>
    <w:pPr>
      <w:ind w:firstLine="200"/>
      <w:spacing w:line="360" w:lineRule="auto"/>
    </w:pPr>
    <w:rPr>
      <w:rFonts w:ascii="宋体" w:hAnsi="宋体" w:eastAsia="仿宋" w:cs="宋体"/>
    </w:rPr>
  </w:style>
  <w:style w:type="paragraph" w:styleId="1021"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2" w:customStyle="1">
    <w:name w:val="正文 1.1.1"/>
    <w:basedOn w:val="769"/>
    <w:next w:val="769"/>
    <w:uiPriority w:val="99"/>
    <w:qFormat/>
    <w:pPr>
      <w:ind w:firstLine="560"/>
      <w:spacing w:line="360" w:lineRule="auto"/>
      <w:outlineLvl w:val="2"/>
    </w:pPr>
    <w:rPr>
      <w:rFonts w:ascii="宋体" w:hAnsi="宋体"/>
      <w:szCs w:val="28"/>
    </w:rPr>
  </w:style>
  <w:style w:type="paragraph" w:styleId="1023" w:customStyle="1">
    <w:name w:val="列出段落"/>
    <w:basedOn w:val="769"/>
    <w:uiPriority w:val="99"/>
    <w:qFormat/>
    <w:pPr>
      <w:ind w:firstLine="420"/>
    </w:pPr>
    <w:rPr>
      <w:sz w:val="21"/>
      <w:szCs w:val="24"/>
    </w:rPr>
  </w:style>
  <w:style w:type="paragraph" w:styleId="1024" w:customStyle="1">
    <w:name w:val="表文字"/>
    <w:uiPriority w:val="0"/>
    <w:qFormat/>
    <w:pPr>
      <w:jc w:val="center"/>
    </w:pPr>
    <w:rPr>
      <w:rFonts w:hint="default" w:ascii="Times New Roman" w:hAnsi="Times New Roman" w:eastAsia="宋体" w:cs="Times New Roman"/>
      <w:bCs/>
      <w:sz w:val="21"/>
      <w:szCs w:val="24"/>
      <w:lang w:val="en-US" w:eastAsia="zh-CN" w:bidi="ar-SA"/>
    </w:rPr>
  </w:style>
  <w:style w:type="paragraph" w:styleId="1025" w:customStyle="1">
    <w:name w:val=" Char Char Char Char Char Char Char Char Char Char2 Char Char Char Char Char Char Char"/>
    <w:basedOn w:val="769"/>
    <w:uiPriority w:val="0"/>
    <w:qFormat/>
    <w:pPr>
      <w:ind w:hanging="425"/>
      <w:keepNext/>
      <w:spacing w:before="80" w:after="80"/>
      <w:widowControl/>
      <w:tabs>
        <w:tab w:val="left" w:pos="425" w:leader="none"/>
      </w:tabs>
    </w:pPr>
    <w:rPr>
      <w:rFonts w:ascii="Times New Roman" w:hAnsi="Times New Roman"/>
      <w:sz w:val="21"/>
      <w:szCs w:val="24"/>
    </w:rPr>
  </w:style>
  <w:style w:type="character" w:styleId="1026" w:customStyle="1">
    <w:name w:val="NormalCharacter1"/>
    <w:link w:val="769"/>
    <w:uiPriority w:val="0"/>
    <w:qFormat/>
  </w:style>
  <w:style w:type="paragraph" w:styleId="1027" w:customStyle="1">
    <w:name w:val="无间隔"/>
    <w:uiPriority w:val="1"/>
    <w:qFormat/>
    <w:pPr>
      <w:ind w:firstLine="200"/>
      <w:jc w:val="both"/>
      <w:widowControl w:val="off"/>
    </w:pPr>
    <w:rPr>
      <w:rFonts w:hint="default" w:ascii="Calibri" w:hAnsi="Calibri" w:eastAsia="宋体" w:cs="Times New Roman"/>
      <w:sz w:val="28"/>
      <w:szCs w:val="22"/>
      <w:lang w:val="en-US" w:eastAsia="zh-CN" w:bidi="ar-SA"/>
    </w:rPr>
  </w:style>
  <w:style w:type="paragraph" w:styleId="1028" w:customStyle="1">
    <w:name w:val="正文首行缩进 21"/>
    <w:basedOn w:val="1029"/>
    <w:uiPriority w:val="0"/>
    <w:qFormat/>
    <w:pPr>
      <w:ind w:firstLine="200"/>
    </w:pPr>
    <w:rPr>
      <w:rFonts w:ascii="Calibri" w:hAnsi="Calibri" w:eastAsia="宋体" w:cs="Times New Roman"/>
    </w:rPr>
  </w:style>
  <w:style w:type="paragraph" w:styleId="1029" w:customStyle="1">
    <w:name w:val="正文文本缩进1"/>
    <w:basedOn w:val="769"/>
    <w:uiPriority w:val="0"/>
    <w:qFormat/>
    <w:pPr>
      <w:ind w:left="420"/>
      <w:spacing w:after="120"/>
    </w:pPr>
  </w:style>
  <w:style w:type="character" w:styleId="1030" w:customStyle="1">
    <w:name w:val="10"/>
    <w:link w:val="769"/>
    <w:uiPriority w:val="99"/>
    <w:unhideWhenUsed/>
    <w:qFormat/>
    <w:rPr>
      <w:rFonts w:ascii="Times New Roman" w:hAnsi="Times New Roman" w:eastAsia="宋体" w:cs="Times New Roman"/>
      <w:sz w:val="24"/>
      <w:szCs w:val="24"/>
    </w:rPr>
  </w:style>
  <w:style w:type="character" w:styleId="1031" w:customStyle="1">
    <w:name w:val="16"/>
    <w:basedOn w:val="963"/>
    <w:link w:val="769"/>
    <w:uiPriority w:val="0"/>
    <w:qFormat/>
    <w:rPr>
      <w:rFonts w:ascii="Times New Roman" w:hAnsi="Times New Roman" w:cs="Times New Roman"/>
      <w:color w:val="0000ff"/>
      <w:u w:val="single"/>
    </w:rPr>
  </w:style>
  <w:style w:type="character" w:styleId="1032" w:customStyle="1">
    <w:name w:val="15"/>
    <w:basedOn w:val="963"/>
    <w:link w:val="769"/>
    <w:uiPriority w:val="0"/>
    <w:qFormat/>
    <w:rPr>
      <w:rFonts w:ascii="Times New Roman" w:hAnsi="Times New Roman" w:cs="Times New Roman"/>
    </w:rPr>
  </w:style>
  <w:style w:type="paragraph" w:styleId="103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首行缩进"/>
    <w:basedOn w:val="769"/>
    <w:uiPriority w:val="0"/>
    <w:qFormat/>
    <w:pPr>
      <w:ind w:firstLine="480"/>
      <w:spacing w:line="360" w:lineRule="auto"/>
    </w:pPr>
    <w:rPr>
      <w:rFonts w:ascii="宋体" w:hAnsi="宋体" w:cs="宋体"/>
      <w:sz w:val="24"/>
    </w:rPr>
  </w:style>
  <w:style w:type="paragraph" w:styleId="1035" w:customStyle="1">
    <w:name w:val="正文11"/>
    <w:next w:val="769"/>
    <w:uiPriority w:val="0"/>
    <w:qFormat/>
    <w:pPr>
      <w:jc w:val="both"/>
      <w:widowControl w:val="off"/>
    </w:pPr>
    <w:rPr>
      <w:rFonts w:hint="default" w:ascii="Times New Roman" w:hAnsi="Times New Roman" w:eastAsia="Arial" w:cs="Times New Roman"/>
      <w:lang w:val="en-US" w:eastAsia="zh-CN" w:bidi="ar-SA"/>
    </w:rPr>
  </w:style>
  <w:style w:type="paragraph" w:styleId="1036" w:customStyle="1">
    <w:name w:val="_Style 13"/>
    <w:uiPriority w:val="0"/>
    <w:unhideWhenUsed/>
    <w:qFormat/>
    <w:pPr>
      <w:spacing w:before="120" w:after="120" w:line="288" w:lineRule="auto"/>
    </w:pPr>
    <w:rPr>
      <w:rFonts w:hint="default" w:ascii="Arial" w:hAnsi="Arial" w:eastAsia="等线" w:cs="Arial"/>
      <w:sz w:val="22"/>
      <w:szCs w:val="22"/>
    </w:r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盐城市捷之诚工程项目管理有限公司</cp:lastModifiedBy>
  <cp:revision>15</cp:revision>
  <dcterms:created xsi:type="dcterms:W3CDTF">2025-05-21T08:58:00Z</dcterms:created>
  <dcterms:modified xsi:type="dcterms:W3CDTF">2025-12-05T09:10:41Z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1BF480F115004812AD52CAC0CD67CBEC_13</vt:lpwstr>
  </property>
  <property fmtid="{D5CDD505-2E9C-101B-9397-08002B2CF9AE}" pid="4" name="KSOTemplateDocerSaveRecord">
    <vt:lpwstr>eyJoZGlkIjoiODE3NzFiOTViZTk5ZDEwZGUyMDM5ZWY5NDU3NGRjYjIiLCJ1c2VySWQiOiI0NDAzNzUwNDMifQ==</vt:lpwstr>
  </property>
</Properties>
</file>